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20824C" w14:textId="04894FE0" w:rsidR="0096410D" w:rsidRPr="0065153D" w:rsidRDefault="0096410D" w:rsidP="0065153D">
      <w:pPr>
        <w:jc w:val="center"/>
        <w:rPr>
          <w:rFonts w:asciiTheme="majorBidi" w:hAnsiTheme="majorBidi" w:cstheme="majorBidi"/>
          <w:b/>
          <w:bCs/>
          <w:u w:val="single"/>
          <w:lang w:val="en-US"/>
        </w:rPr>
      </w:pPr>
      <w:bookmarkStart w:id="0" w:name="_GoBack"/>
      <w:r w:rsidRPr="0065153D">
        <w:rPr>
          <w:rFonts w:asciiTheme="majorBidi" w:hAnsiTheme="majorBidi" w:cstheme="majorBidi"/>
          <w:b/>
          <w:bCs/>
          <w:u w:val="single"/>
          <w:lang w:val="en-US"/>
        </w:rPr>
        <w:t xml:space="preserve">Automated </w:t>
      </w:r>
      <w:r w:rsidR="007C0E4D" w:rsidRPr="0065153D">
        <w:rPr>
          <w:rFonts w:asciiTheme="majorBidi" w:hAnsiTheme="majorBidi" w:cstheme="majorBidi"/>
          <w:b/>
          <w:bCs/>
          <w:u w:val="single"/>
          <w:lang w:val="en-US"/>
        </w:rPr>
        <w:t xml:space="preserve">phone </w:t>
      </w:r>
      <w:r w:rsidRPr="0065153D">
        <w:rPr>
          <w:rFonts w:asciiTheme="majorBidi" w:hAnsiTheme="majorBidi" w:cstheme="majorBidi"/>
          <w:b/>
          <w:bCs/>
          <w:u w:val="single"/>
          <w:lang w:val="en-US"/>
        </w:rPr>
        <w:t xml:space="preserve">call and </w:t>
      </w:r>
      <w:r w:rsidR="00D12FAE" w:rsidRPr="0065153D">
        <w:rPr>
          <w:rFonts w:asciiTheme="majorBidi" w:hAnsiTheme="majorBidi" w:cstheme="majorBidi"/>
          <w:b/>
          <w:bCs/>
          <w:u w:val="single"/>
          <w:lang w:val="en-US"/>
        </w:rPr>
        <w:t>c</w:t>
      </w:r>
      <w:r w:rsidRPr="0065153D">
        <w:rPr>
          <w:rFonts w:asciiTheme="majorBidi" w:hAnsiTheme="majorBidi" w:cstheme="majorBidi"/>
          <w:b/>
          <w:bCs/>
          <w:u w:val="single"/>
          <w:lang w:val="en-US"/>
        </w:rPr>
        <w:t xml:space="preserve">ognitive </w:t>
      </w:r>
      <w:proofErr w:type="spellStart"/>
      <w:r w:rsidR="003C3E5F" w:rsidRPr="0065153D">
        <w:rPr>
          <w:rFonts w:asciiTheme="majorBidi" w:hAnsiTheme="majorBidi" w:cstheme="majorBidi"/>
          <w:b/>
          <w:bCs/>
          <w:u w:val="single"/>
          <w:lang w:val="en-US"/>
        </w:rPr>
        <w:t>behavioural</w:t>
      </w:r>
      <w:proofErr w:type="spellEnd"/>
      <w:r w:rsidR="009E6875" w:rsidRPr="0065153D">
        <w:rPr>
          <w:rFonts w:asciiTheme="majorBidi" w:hAnsiTheme="majorBidi" w:cstheme="majorBidi"/>
          <w:b/>
          <w:bCs/>
          <w:u w:val="single"/>
          <w:lang w:val="en-US"/>
        </w:rPr>
        <w:t xml:space="preserve"> </w:t>
      </w:r>
      <w:r w:rsidRPr="0065153D">
        <w:rPr>
          <w:rFonts w:asciiTheme="majorBidi" w:hAnsiTheme="majorBidi" w:cstheme="majorBidi"/>
          <w:b/>
          <w:bCs/>
          <w:u w:val="single"/>
          <w:lang w:val="en-US"/>
        </w:rPr>
        <w:t xml:space="preserve">therapy </w:t>
      </w:r>
      <w:r w:rsidR="00D12FAE" w:rsidRPr="0065153D">
        <w:rPr>
          <w:rFonts w:asciiTheme="majorBidi" w:hAnsiTheme="majorBidi" w:cstheme="majorBidi"/>
          <w:b/>
          <w:bCs/>
          <w:u w:val="single"/>
          <w:lang w:val="en-US"/>
        </w:rPr>
        <w:t>for juvenile offenders</w:t>
      </w:r>
    </w:p>
    <w:bookmarkEnd w:id="0"/>
    <w:p w14:paraId="54335D86" w14:textId="77777777" w:rsidR="0096410D" w:rsidRPr="00C27A43" w:rsidRDefault="0096410D" w:rsidP="0096410D">
      <w:pPr>
        <w:spacing w:line="276" w:lineRule="auto"/>
        <w:rPr>
          <w:rFonts w:cstheme="minorHAnsi"/>
          <w:lang w:val="en-US"/>
        </w:rPr>
      </w:pPr>
    </w:p>
    <w:p w14:paraId="0E9A6D0A" w14:textId="77777777" w:rsidR="0096410D" w:rsidRPr="00665F4A" w:rsidRDefault="0096410D" w:rsidP="0096410D">
      <w:pPr>
        <w:rPr>
          <w:rFonts w:asciiTheme="majorBidi" w:hAnsiTheme="majorBidi" w:cstheme="majorBidi"/>
          <w:lang w:val="en-US"/>
        </w:rPr>
      </w:pPr>
    </w:p>
    <w:p w14:paraId="509D67B3" w14:textId="45BFA115" w:rsidR="0096410D" w:rsidRPr="00665F4A" w:rsidRDefault="00BE1080" w:rsidP="0096410D">
      <w:pPr>
        <w:rPr>
          <w:rFonts w:asciiTheme="majorBidi" w:hAnsiTheme="majorBidi" w:cstheme="majorBidi"/>
          <w:lang w:val="en-US"/>
        </w:rPr>
      </w:pPr>
      <w:r w:rsidRPr="00665F4A">
        <w:rPr>
          <w:rFonts w:asciiTheme="majorBidi" w:hAnsiTheme="majorBidi" w:cstheme="majorBidi"/>
          <w:lang w:val="en-US"/>
        </w:rPr>
        <w:t xml:space="preserve">The origins of </w:t>
      </w:r>
      <w:r w:rsidR="007C0E4D">
        <w:rPr>
          <w:rFonts w:asciiTheme="majorBidi" w:hAnsiTheme="majorBidi" w:cstheme="majorBidi"/>
          <w:lang w:val="en-US"/>
        </w:rPr>
        <w:t xml:space="preserve">the </w:t>
      </w:r>
      <w:r w:rsidRPr="00665F4A">
        <w:rPr>
          <w:rFonts w:asciiTheme="majorBidi" w:hAnsiTheme="majorBidi" w:cstheme="majorBidi"/>
          <w:lang w:val="en-US"/>
        </w:rPr>
        <w:t xml:space="preserve">Juvenile Justice can be traced to the </w:t>
      </w:r>
      <w:r w:rsidR="003C735E">
        <w:rPr>
          <w:rFonts w:asciiTheme="majorBidi" w:hAnsiTheme="majorBidi" w:cstheme="majorBidi"/>
          <w:lang w:val="en-US"/>
        </w:rPr>
        <w:t>1820s</w:t>
      </w:r>
      <w:r w:rsidRPr="00665F4A">
        <w:rPr>
          <w:rFonts w:asciiTheme="majorBidi" w:hAnsiTheme="majorBidi" w:cstheme="majorBidi"/>
          <w:lang w:val="en-US"/>
        </w:rPr>
        <w:t xml:space="preserve"> when New York established the first “House of Refugee” for minors who committed crimes. </w:t>
      </w:r>
      <w:r w:rsidR="00374AFA" w:rsidRPr="00665F4A">
        <w:rPr>
          <w:rFonts w:asciiTheme="majorBidi" w:hAnsiTheme="majorBidi" w:cstheme="majorBidi"/>
          <w:lang w:val="en-US"/>
        </w:rPr>
        <w:t xml:space="preserve">While these establishments clearly moved away from the </w:t>
      </w:r>
      <w:r w:rsidR="00AF19BB">
        <w:rPr>
          <w:rFonts w:asciiTheme="majorBidi" w:hAnsiTheme="majorBidi" w:cstheme="majorBidi"/>
          <w:lang w:val="en-US"/>
        </w:rPr>
        <w:t>18th-century</w:t>
      </w:r>
      <w:r w:rsidR="00374AFA" w:rsidRPr="00665F4A">
        <w:rPr>
          <w:rFonts w:asciiTheme="majorBidi" w:hAnsiTheme="majorBidi" w:cstheme="majorBidi"/>
          <w:lang w:val="en-US"/>
        </w:rPr>
        <w:t xml:space="preserve"> notion of retributive justice, these institutions sought to reform and deter juvenile offenders from a life of crime. </w:t>
      </w:r>
      <w:r w:rsidR="007C0E4D">
        <w:rPr>
          <w:rFonts w:asciiTheme="majorBidi" w:hAnsiTheme="majorBidi" w:cstheme="majorBidi"/>
          <w:lang w:val="en-US"/>
        </w:rPr>
        <w:t xml:space="preserve">The offenders </w:t>
      </w:r>
      <w:r w:rsidR="00374AFA" w:rsidRPr="00665F4A">
        <w:rPr>
          <w:rFonts w:asciiTheme="majorBidi" w:hAnsiTheme="majorBidi" w:cstheme="majorBidi"/>
          <w:lang w:val="en-US"/>
        </w:rPr>
        <w:t xml:space="preserve">were subject to sleeping in their own </w:t>
      </w:r>
      <w:r w:rsidR="00AF19BB">
        <w:rPr>
          <w:rFonts w:asciiTheme="majorBidi" w:hAnsiTheme="majorBidi" w:cstheme="majorBidi"/>
          <w:lang w:val="en-US"/>
        </w:rPr>
        <w:t>solitary</w:t>
      </w:r>
      <w:r w:rsidR="00374AFA" w:rsidRPr="00665F4A">
        <w:rPr>
          <w:rFonts w:asciiTheme="majorBidi" w:hAnsiTheme="majorBidi" w:cstheme="majorBidi"/>
          <w:lang w:val="en-US"/>
        </w:rPr>
        <w:t xml:space="preserve"> units</w:t>
      </w:r>
      <w:r w:rsidR="00AF19BB">
        <w:rPr>
          <w:rFonts w:asciiTheme="majorBidi" w:hAnsiTheme="majorBidi" w:cstheme="majorBidi"/>
          <w:lang w:val="en-US"/>
        </w:rPr>
        <w:t>,</w:t>
      </w:r>
      <w:r w:rsidR="00374AFA" w:rsidRPr="00665F4A">
        <w:rPr>
          <w:rFonts w:asciiTheme="majorBidi" w:hAnsiTheme="majorBidi" w:cstheme="majorBidi"/>
          <w:lang w:val="en-US"/>
        </w:rPr>
        <w:t xml:space="preserve"> and staff restricted their interactions in class with other fellow offenders during the day</w:t>
      </w:r>
      <w:r w:rsidR="007C0E4D">
        <w:rPr>
          <w:rFonts w:asciiTheme="majorBidi" w:hAnsiTheme="majorBidi" w:cstheme="majorBidi"/>
          <w:lang w:val="en-US"/>
        </w:rPr>
        <w:t xml:space="preserve">. There was a belief that offenders could influence each other to commit </w:t>
      </w:r>
      <w:r w:rsidR="00AF19BB">
        <w:rPr>
          <w:rFonts w:asciiTheme="majorBidi" w:hAnsiTheme="majorBidi" w:cstheme="majorBidi"/>
          <w:lang w:val="en-US"/>
        </w:rPr>
        <w:t>c</w:t>
      </w:r>
      <w:r w:rsidR="007C0E4D">
        <w:rPr>
          <w:rFonts w:asciiTheme="majorBidi" w:hAnsiTheme="majorBidi" w:cstheme="majorBidi"/>
          <w:lang w:val="en-US"/>
        </w:rPr>
        <w:t>rime</w:t>
      </w:r>
      <w:r w:rsidR="00AF19BB">
        <w:rPr>
          <w:rFonts w:asciiTheme="majorBidi" w:hAnsiTheme="majorBidi" w:cstheme="majorBidi"/>
          <w:lang w:val="en-US"/>
        </w:rPr>
        <w:t xml:space="preserve">s </w:t>
      </w:r>
      <w:r w:rsidR="007C0E4D">
        <w:rPr>
          <w:rFonts w:asciiTheme="majorBidi" w:hAnsiTheme="majorBidi" w:cstheme="majorBidi"/>
          <w:lang w:val="en-US"/>
        </w:rPr>
        <w:t>and hence kept separate.</w:t>
      </w:r>
      <w:r w:rsidR="00C27A43" w:rsidRPr="00665F4A">
        <w:rPr>
          <w:rStyle w:val="FootnoteReference"/>
          <w:rFonts w:asciiTheme="majorBidi" w:hAnsiTheme="majorBidi" w:cstheme="majorBidi"/>
          <w:lang w:val="en-US"/>
        </w:rPr>
        <w:footnoteReference w:id="1"/>
      </w:r>
      <w:r w:rsidR="00C27A43" w:rsidRPr="00665F4A">
        <w:rPr>
          <w:rFonts w:asciiTheme="majorBidi" w:hAnsiTheme="majorBidi" w:cstheme="majorBidi"/>
          <w:lang w:val="en-US"/>
        </w:rPr>
        <w:t xml:space="preserve"> </w:t>
      </w:r>
      <w:r w:rsidR="007E19AE" w:rsidRPr="00665F4A">
        <w:rPr>
          <w:rFonts w:asciiTheme="majorBidi" w:hAnsiTheme="majorBidi" w:cstheme="majorBidi"/>
          <w:lang w:val="en-US"/>
        </w:rPr>
        <w:t xml:space="preserve">Further, life in these reform houses was </w:t>
      </w:r>
      <w:r w:rsidR="00AF19BB">
        <w:rPr>
          <w:rFonts w:asciiTheme="majorBidi" w:hAnsiTheme="majorBidi" w:cstheme="majorBidi"/>
          <w:lang w:val="en-US"/>
        </w:rPr>
        <w:t>strict,</w:t>
      </w:r>
      <w:r w:rsidR="007E19AE" w:rsidRPr="00665F4A">
        <w:rPr>
          <w:rFonts w:asciiTheme="majorBidi" w:hAnsiTheme="majorBidi" w:cstheme="majorBidi"/>
          <w:lang w:val="en-US"/>
        </w:rPr>
        <w:t xml:space="preserve"> with </w:t>
      </w:r>
      <w:r w:rsidR="00655A0F">
        <w:rPr>
          <w:rFonts w:asciiTheme="majorBidi" w:hAnsiTheme="majorBidi" w:cstheme="majorBidi"/>
          <w:lang w:val="en-US"/>
        </w:rPr>
        <w:t xml:space="preserve">deficient </w:t>
      </w:r>
      <w:r w:rsidR="007E19AE" w:rsidRPr="00665F4A">
        <w:rPr>
          <w:rFonts w:asciiTheme="majorBidi" w:hAnsiTheme="majorBidi" w:cstheme="majorBidi"/>
          <w:lang w:val="en-US"/>
        </w:rPr>
        <w:t xml:space="preserve">meals and limited external communications to deter crime and pauperism (both </w:t>
      </w:r>
      <w:r w:rsidR="003C735E">
        <w:rPr>
          <w:rFonts w:asciiTheme="majorBidi" w:hAnsiTheme="majorBidi" w:cstheme="majorBidi"/>
          <w:lang w:val="en-US"/>
        </w:rPr>
        <w:t>being</w:t>
      </w:r>
      <w:r w:rsidR="007E19AE" w:rsidRPr="00665F4A">
        <w:rPr>
          <w:rFonts w:asciiTheme="majorBidi" w:hAnsiTheme="majorBidi" w:cstheme="majorBidi"/>
          <w:lang w:val="en-US"/>
        </w:rPr>
        <w:t xml:space="preserve"> linked together in the 19</w:t>
      </w:r>
      <w:r w:rsidR="007E19AE" w:rsidRPr="00665F4A">
        <w:rPr>
          <w:rFonts w:asciiTheme="majorBidi" w:hAnsiTheme="majorBidi" w:cstheme="majorBidi"/>
          <w:vertAlign w:val="superscript"/>
          <w:lang w:val="en-US"/>
        </w:rPr>
        <w:t>th</w:t>
      </w:r>
      <w:r w:rsidR="007E19AE" w:rsidRPr="00665F4A">
        <w:rPr>
          <w:rFonts w:asciiTheme="majorBidi" w:hAnsiTheme="majorBidi" w:cstheme="majorBidi"/>
          <w:lang w:val="en-US"/>
        </w:rPr>
        <w:t xml:space="preserve"> century).</w:t>
      </w:r>
      <w:r w:rsidR="007E19AE" w:rsidRPr="00665F4A">
        <w:rPr>
          <w:rStyle w:val="FootnoteReference"/>
          <w:rFonts w:asciiTheme="majorBidi" w:hAnsiTheme="majorBidi" w:cstheme="majorBidi"/>
          <w:lang w:val="en-US"/>
        </w:rPr>
        <w:footnoteReference w:id="2"/>
      </w:r>
    </w:p>
    <w:p w14:paraId="37D64569" w14:textId="3231A4E3" w:rsidR="007E19AE" w:rsidRPr="00665F4A" w:rsidRDefault="007E19AE" w:rsidP="0096410D">
      <w:pPr>
        <w:rPr>
          <w:rFonts w:asciiTheme="majorBidi" w:hAnsiTheme="majorBidi" w:cstheme="majorBidi"/>
          <w:lang w:val="en-US"/>
        </w:rPr>
      </w:pPr>
    </w:p>
    <w:p w14:paraId="6CDAECA7" w14:textId="47024D6C" w:rsidR="00BE1080" w:rsidRPr="00665F4A" w:rsidRDefault="00B7154E" w:rsidP="00480138">
      <w:pPr>
        <w:pStyle w:val="Default"/>
        <w:rPr>
          <w:rFonts w:asciiTheme="majorBidi" w:hAnsiTheme="majorBidi" w:cstheme="majorBidi"/>
          <w:color w:val="auto"/>
        </w:rPr>
      </w:pPr>
      <w:r w:rsidRPr="00665F4A">
        <w:rPr>
          <w:rFonts w:asciiTheme="majorBidi" w:hAnsiTheme="majorBidi" w:cstheme="majorBidi"/>
        </w:rPr>
        <w:t>Towards the later 19</w:t>
      </w:r>
      <w:r w:rsidRPr="00665F4A">
        <w:rPr>
          <w:rFonts w:asciiTheme="majorBidi" w:hAnsiTheme="majorBidi" w:cstheme="majorBidi"/>
          <w:vertAlign w:val="superscript"/>
        </w:rPr>
        <w:t>th</w:t>
      </w:r>
      <w:r w:rsidRPr="00665F4A">
        <w:rPr>
          <w:rFonts w:asciiTheme="majorBidi" w:hAnsiTheme="majorBidi" w:cstheme="majorBidi"/>
        </w:rPr>
        <w:t xml:space="preserve"> century, reforms in </w:t>
      </w:r>
      <w:r w:rsidR="00480138" w:rsidRPr="00665F4A">
        <w:rPr>
          <w:rFonts w:asciiTheme="majorBidi" w:hAnsiTheme="majorBidi" w:cstheme="majorBidi"/>
        </w:rPr>
        <w:t>Chicago</w:t>
      </w:r>
      <w:r w:rsidRPr="00665F4A">
        <w:rPr>
          <w:rFonts w:asciiTheme="majorBidi" w:hAnsiTheme="majorBidi" w:cstheme="majorBidi"/>
        </w:rPr>
        <w:t xml:space="preserve"> </w:t>
      </w:r>
      <w:r w:rsidR="001A34BC">
        <w:rPr>
          <w:rFonts w:asciiTheme="majorBidi" w:hAnsiTheme="majorBidi" w:cstheme="majorBidi"/>
        </w:rPr>
        <w:t>moved to stimulate</w:t>
      </w:r>
      <w:r w:rsidRPr="00665F4A">
        <w:rPr>
          <w:rFonts w:asciiTheme="majorBidi" w:hAnsiTheme="majorBidi" w:cstheme="majorBidi"/>
        </w:rPr>
        <w:t xml:space="preserve"> a familial life for juvenile offenders</w:t>
      </w:r>
      <w:r w:rsidR="00480138" w:rsidRPr="00665F4A">
        <w:rPr>
          <w:rFonts w:asciiTheme="majorBidi" w:hAnsiTheme="majorBidi" w:cstheme="majorBidi"/>
        </w:rPr>
        <w:t xml:space="preserve">. Instead of separating them </w:t>
      </w:r>
      <w:r w:rsidR="00AF19BB">
        <w:rPr>
          <w:rFonts w:asciiTheme="majorBidi" w:hAnsiTheme="majorBidi" w:cstheme="majorBidi"/>
        </w:rPr>
        <w:t xml:space="preserve">from </w:t>
      </w:r>
      <w:r w:rsidR="00480138" w:rsidRPr="00665F4A">
        <w:rPr>
          <w:rFonts w:asciiTheme="majorBidi" w:hAnsiTheme="majorBidi" w:cstheme="majorBidi"/>
        </w:rPr>
        <w:t xml:space="preserve">familial communication and intervention, they were granted  </w:t>
      </w:r>
      <w:r w:rsidR="00480138" w:rsidRPr="00665F4A">
        <w:rPr>
          <w:rFonts w:asciiTheme="majorBidi" w:hAnsiTheme="majorBidi" w:cstheme="majorBidi"/>
          <w:color w:val="auto"/>
        </w:rPr>
        <w:t>"care… of a parental sort</w:t>
      </w:r>
      <w:r w:rsidR="00AF19BB">
        <w:rPr>
          <w:rFonts w:asciiTheme="majorBidi" w:hAnsiTheme="majorBidi" w:cstheme="majorBidi"/>
          <w:color w:val="auto"/>
        </w:rPr>
        <w:t>.”</w:t>
      </w:r>
      <w:r w:rsidR="00480138" w:rsidRPr="00665F4A">
        <w:rPr>
          <w:rFonts w:asciiTheme="majorBidi" w:hAnsiTheme="majorBidi" w:cstheme="majorBidi"/>
          <w:color w:val="auto"/>
        </w:rPr>
        <w:t xml:space="preserve"> Hence, we see a move towards rehabilitation of minors towards the end of the century</w:t>
      </w:r>
      <w:r w:rsidR="00301DCB" w:rsidRPr="00665F4A">
        <w:rPr>
          <w:rFonts w:asciiTheme="majorBidi" w:hAnsiTheme="majorBidi" w:cstheme="majorBidi"/>
          <w:color w:val="auto"/>
        </w:rPr>
        <w:t xml:space="preserve"> though many of these programs were limited to those committing petty crimes like theft</w:t>
      </w:r>
      <w:r w:rsidR="00480138" w:rsidRPr="00665F4A">
        <w:rPr>
          <w:rFonts w:asciiTheme="majorBidi" w:hAnsiTheme="majorBidi" w:cstheme="majorBidi"/>
          <w:color w:val="auto"/>
        </w:rPr>
        <w:t>.</w:t>
      </w:r>
      <w:r w:rsidR="00480138" w:rsidRPr="00665F4A">
        <w:rPr>
          <w:rStyle w:val="FootnoteReference"/>
          <w:rFonts w:asciiTheme="majorBidi" w:hAnsiTheme="majorBidi" w:cstheme="majorBidi"/>
          <w:color w:val="auto"/>
        </w:rPr>
        <w:footnoteReference w:id="3"/>
      </w:r>
    </w:p>
    <w:p w14:paraId="663C2F58" w14:textId="2DF1438C" w:rsidR="00480138" w:rsidRPr="00665F4A" w:rsidRDefault="00480138" w:rsidP="00480138">
      <w:pPr>
        <w:pStyle w:val="Default"/>
        <w:rPr>
          <w:rFonts w:asciiTheme="majorBidi" w:hAnsiTheme="majorBidi" w:cstheme="majorBidi"/>
          <w:color w:val="auto"/>
        </w:rPr>
      </w:pPr>
    </w:p>
    <w:p w14:paraId="2BB4B21D" w14:textId="5BF5FB62" w:rsidR="00D12FAE" w:rsidRPr="00665F4A" w:rsidRDefault="00301DCB" w:rsidP="007C0E4D">
      <w:pPr>
        <w:pStyle w:val="Default"/>
        <w:rPr>
          <w:rFonts w:asciiTheme="majorBidi" w:hAnsiTheme="majorBidi" w:cstheme="majorBidi"/>
          <w:color w:val="auto"/>
        </w:rPr>
      </w:pPr>
      <w:r w:rsidRPr="00665F4A">
        <w:rPr>
          <w:rFonts w:asciiTheme="majorBidi" w:hAnsiTheme="majorBidi" w:cstheme="majorBidi"/>
          <w:color w:val="auto"/>
        </w:rPr>
        <w:t xml:space="preserve">In California, there has been a need to realign the </w:t>
      </w:r>
      <w:r w:rsidR="007C0E4D" w:rsidRPr="00665F4A">
        <w:rPr>
          <w:rFonts w:asciiTheme="majorBidi" w:hAnsiTheme="majorBidi" w:cstheme="majorBidi"/>
          <w:color w:val="auto"/>
        </w:rPr>
        <w:t>Division of Juvenile Justice</w:t>
      </w:r>
      <w:r w:rsidR="007C0E4D">
        <w:rPr>
          <w:rFonts w:asciiTheme="majorBidi" w:hAnsiTheme="majorBidi" w:cstheme="majorBidi"/>
          <w:color w:val="auto"/>
        </w:rPr>
        <w:t xml:space="preserve"> (DJJ)</w:t>
      </w:r>
      <w:r w:rsidR="007C0E4D" w:rsidRPr="00665F4A">
        <w:rPr>
          <w:rFonts w:asciiTheme="majorBidi" w:hAnsiTheme="majorBidi" w:cstheme="majorBidi"/>
          <w:color w:val="auto"/>
        </w:rPr>
        <w:t xml:space="preserve"> </w:t>
      </w:r>
      <w:r w:rsidRPr="00665F4A">
        <w:rPr>
          <w:rFonts w:asciiTheme="majorBidi" w:hAnsiTheme="majorBidi" w:cstheme="majorBidi"/>
          <w:color w:val="auto"/>
        </w:rPr>
        <w:t xml:space="preserve">as identified in </w:t>
      </w:r>
      <w:r w:rsidR="005A4B37" w:rsidRPr="00665F4A">
        <w:rPr>
          <w:rFonts w:asciiTheme="majorBidi" w:hAnsiTheme="majorBidi" w:cstheme="majorBidi"/>
          <w:i/>
          <w:iCs/>
          <w:color w:val="auto"/>
        </w:rPr>
        <w:t xml:space="preserve">Farrell v. Beard </w:t>
      </w:r>
      <w:r w:rsidRPr="00665F4A">
        <w:rPr>
          <w:rFonts w:asciiTheme="majorBidi" w:hAnsiTheme="majorBidi" w:cstheme="majorBidi"/>
          <w:color w:val="auto"/>
        </w:rPr>
        <w:t xml:space="preserve">(previously known as </w:t>
      </w:r>
      <w:r w:rsidRPr="00665F4A">
        <w:rPr>
          <w:rFonts w:asciiTheme="majorBidi" w:hAnsiTheme="majorBidi" w:cstheme="majorBidi"/>
          <w:i/>
          <w:iCs/>
          <w:color w:val="auto"/>
        </w:rPr>
        <w:t>Farrell v. Cate</w:t>
      </w:r>
      <w:r w:rsidRPr="00665F4A">
        <w:rPr>
          <w:rFonts w:asciiTheme="majorBidi" w:hAnsiTheme="majorBidi" w:cstheme="majorBidi"/>
          <w:color w:val="auto"/>
        </w:rPr>
        <w:t xml:space="preserve">). While the </w:t>
      </w:r>
      <w:r w:rsidR="007C0E4D">
        <w:rPr>
          <w:rFonts w:asciiTheme="majorBidi" w:hAnsiTheme="majorBidi" w:cstheme="majorBidi"/>
          <w:color w:val="auto"/>
        </w:rPr>
        <w:t xml:space="preserve">DJJ </w:t>
      </w:r>
      <w:r w:rsidRPr="00665F4A">
        <w:rPr>
          <w:rFonts w:asciiTheme="majorBidi" w:hAnsiTheme="majorBidi" w:cstheme="majorBidi"/>
          <w:color w:val="auto"/>
        </w:rPr>
        <w:t xml:space="preserve">has </w:t>
      </w:r>
      <w:r w:rsidR="00AA6179" w:rsidRPr="00665F4A">
        <w:rPr>
          <w:rFonts w:asciiTheme="majorBidi" w:hAnsiTheme="majorBidi" w:cstheme="majorBidi"/>
          <w:color w:val="auto"/>
        </w:rPr>
        <w:t xml:space="preserve">made great strides in the </w:t>
      </w:r>
      <w:r w:rsidR="00453BB1" w:rsidRPr="00665F4A">
        <w:rPr>
          <w:rFonts w:asciiTheme="majorBidi" w:hAnsiTheme="majorBidi" w:cstheme="majorBidi"/>
          <w:color w:val="auto"/>
        </w:rPr>
        <w:t>DJJ</w:t>
      </w:r>
      <w:r w:rsidR="00AA6179" w:rsidRPr="00665F4A">
        <w:rPr>
          <w:rFonts w:asciiTheme="majorBidi" w:hAnsiTheme="majorBidi" w:cstheme="majorBidi"/>
          <w:color w:val="auto"/>
        </w:rPr>
        <w:t xml:space="preserve"> since the 19</w:t>
      </w:r>
      <w:r w:rsidR="00AA6179" w:rsidRPr="00665F4A">
        <w:rPr>
          <w:rFonts w:asciiTheme="majorBidi" w:hAnsiTheme="majorBidi" w:cstheme="majorBidi"/>
          <w:color w:val="auto"/>
          <w:vertAlign w:val="superscript"/>
        </w:rPr>
        <w:t>th</w:t>
      </w:r>
      <w:r w:rsidR="00AA6179" w:rsidRPr="00665F4A">
        <w:rPr>
          <w:rFonts w:asciiTheme="majorBidi" w:hAnsiTheme="majorBidi" w:cstheme="majorBidi"/>
          <w:color w:val="auto"/>
        </w:rPr>
        <w:t xml:space="preserve"> century, the judiciary identified significant deficiencies in the system when it comes to reducing recidivism</w:t>
      </w:r>
      <w:r w:rsidR="003A1388" w:rsidRPr="00665F4A">
        <w:rPr>
          <w:rFonts w:asciiTheme="majorBidi" w:hAnsiTheme="majorBidi" w:cstheme="majorBidi"/>
          <w:color w:val="auto"/>
        </w:rPr>
        <w:t xml:space="preserve"> and violence within the facilities</w:t>
      </w:r>
      <w:r w:rsidR="00AA6179" w:rsidRPr="00665F4A">
        <w:rPr>
          <w:rFonts w:asciiTheme="majorBidi" w:hAnsiTheme="majorBidi" w:cstheme="majorBidi"/>
          <w:color w:val="auto"/>
        </w:rPr>
        <w:t xml:space="preserve">. Since the case, there has been a move to </w:t>
      </w:r>
      <w:r w:rsidR="00AF19BB">
        <w:rPr>
          <w:rFonts w:asciiTheme="majorBidi" w:hAnsiTheme="majorBidi" w:cstheme="majorBidi"/>
          <w:color w:val="auto"/>
        </w:rPr>
        <w:t>seek</w:t>
      </w:r>
      <w:r w:rsidR="00AA6179" w:rsidRPr="00665F4A">
        <w:rPr>
          <w:rFonts w:asciiTheme="majorBidi" w:hAnsiTheme="majorBidi" w:cstheme="majorBidi"/>
          <w:color w:val="auto"/>
        </w:rPr>
        <w:t xml:space="preserve"> alternatives to </w:t>
      </w:r>
      <w:r w:rsidR="00453BB1" w:rsidRPr="00665F4A">
        <w:rPr>
          <w:rFonts w:asciiTheme="majorBidi" w:hAnsiTheme="majorBidi" w:cstheme="majorBidi"/>
          <w:color w:val="auto"/>
        </w:rPr>
        <w:t xml:space="preserve">sending minors to the DJJ. Legislation </w:t>
      </w:r>
      <w:r w:rsidR="005A4B37" w:rsidRPr="00665F4A">
        <w:rPr>
          <w:rFonts w:asciiTheme="majorBidi" w:hAnsiTheme="majorBidi" w:cstheme="majorBidi"/>
          <w:color w:val="auto"/>
        </w:rPr>
        <w:t xml:space="preserve">such as Senate Bill 81 </w:t>
      </w:r>
      <w:r w:rsidR="00453BB1" w:rsidRPr="00665F4A">
        <w:rPr>
          <w:rFonts w:asciiTheme="majorBidi" w:hAnsiTheme="majorBidi" w:cstheme="majorBidi"/>
          <w:color w:val="auto"/>
        </w:rPr>
        <w:t xml:space="preserve">has reduced the amount of time a minor can </w:t>
      </w:r>
      <w:r w:rsidR="00AF19BB">
        <w:rPr>
          <w:rFonts w:asciiTheme="majorBidi" w:hAnsiTheme="majorBidi" w:cstheme="majorBidi"/>
          <w:color w:val="auto"/>
        </w:rPr>
        <w:t xml:space="preserve">be </w:t>
      </w:r>
      <w:r w:rsidR="00453BB1" w:rsidRPr="00665F4A">
        <w:rPr>
          <w:rFonts w:asciiTheme="majorBidi" w:hAnsiTheme="majorBidi" w:cstheme="majorBidi"/>
          <w:color w:val="auto"/>
        </w:rPr>
        <w:t xml:space="preserve">sent </w:t>
      </w:r>
      <w:r w:rsidR="00AF19BB">
        <w:rPr>
          <w:rFonts w:asciiTheme="majorBidi" w:hAnsiTheme="majorBidi" w:cstheme="majorBidi"/>
          <w:color w:val="auto"/>
        </w:rPr>
        <w:t>to</w:t>
      </w:r>
      <w:r w:rsidR="00453BB1" w:rsidRPr="00665F4A">
        <w:rPr>
          <w:rFonts w:asciiTheme="majorBidi" w:hAnsiTheme="majorBidi" w:cstheme="majorBidi"/>
          <w:color w:val="auto"/>
        </w:rPr>
        <w:t xml:space="preserve"> a DJJ facility and has redirected probationers and non-violent offenders to alternative programs.</w:t>
      </w:r>
      <w:r w:rsidR="00AA6179" w:rsidRPr="00665F4A">
        <w:rPr>
          <w:rStyle w:val="FootnoteReference"/>
          <w:rFonts w:asciiTheme="majorBidi" w:hAnsiTheme="majorBidi" w:cstheme="majorBidi"/>
          <w:color w:val="auto"/>
        </w:rPr>
        <w:footnoteReference w:id="4"/>
      </w:r>
      <w:r w:rsidR="00AA6179" w:rsidRPr="00665F4A">
        <w:rPr>
          <w:rFonts w:asciiTheme="majorBidi" w:hAnsiTheme="majorBidi" w:cstheme="majorBidi"/>
          <w:color w:val="auto"/>
        </w:rPr>
        <w:t xml:space="preserve"> </w:t>
      </w:r>
      <w:r w:rsidR="00AF19BB">
        <w:rPr>
          <w:rFonts w:asciiTheme="majorBidi" w:hAnsiTheme="majorBidi" w:cstheme="majorBidi"/>
          <w:color w:val="auto"/>
        </w:rPr>
        <w:t>The analysis</w:t>
      </w:r>
      <w:r w:rsidR="005A4B37" w:rsidRPr="00665F4A">
        <w:rPr>
          <w:rFonts w:asciiTheme="majorBidi" w:hAnsiTheme="majorBidi" w:cstheme="majorBidi"/>
          <w:color w:val="auto"/>
        </w:rPr>
        <w:t xml:space="preserve"> given by Barry </w:t>
      </w:r>
      <w:proofErr w:type="spellStart"/>
      <w:r w:rsidR="005A4B37" w:rsidRPr="00665F4A">
        <w:rPr>
          <w:rFonts w:asciiTheme="majorBidi" w:hAnsiTheme="majorBidi" w:cstheme="majorBidi"/>
          <w:color w:val="auto"/>
        </w:rPr>
        <w:t>Krisberg</w:t>
      </w:r>
      <w:proofErr w:type="spellEnd"/>
      <w:r w:rsidR="005A4B37" w:rsidRPr="00665F4A">
        <w:rPr>
          <w:rFonts w:asciiTheme="majorBidi" w:hAnsiTheme="majorBidi" w:cstheme="majorBidi"/>
          <w:color w:val="auto"/>
        </w:rPr>
        <w:t xml:space="preserve"> indicates that the state is in the process of meeting many of the goals laid down by</w:t>
      </w:r>
      <w:r w:rsidR="00AF19BB">
        <w:rPr>
          <w:rFonts w:asciiTheme="majorBidi" w:hAnsiTheme="majorBidi" w:cstheme="majorBidi"/>
          <w:color w:val="auto"/>
        </w:rPr>
        <w:t xml:space="preserve"> the</w:t>
      </w:r>
      <w:r w:rsidR="005A4B37" w:rsidRPr="00665F4A">
        <w:rPr>
          <w:rFonts w:asciiTheme="majorBidi" w:hAnsiTheme="majorBidi" w:cstheme="majorBidi"/>
          <w:color w:val="auto"/>
        </w:rPr>
        <w:t xml:space="preserve"> </w:t>
      </w:r>
      <w:r w:rsidR="005A4B37" w:rsidRPr="00665F4A">
        <w:rPr>
          <w:rFonts w:asciiTheme="majorBidi" w:hAnsiTheme="majorBidi" w:cstheme="majorBidi"/>
          <w:i/>
          <w:iCs/>
          <w:color w:val="auto"/>
        </w:rPr>
        <w:t xml:space="preserve">Farrell </w:t>
      </w:r>
      <w:r w:rsidR="005A4B37" w:rsidRPr="00665F4A">
        <w:rPr>
          <w:rFonts w:asciiTheme="majorBidi" w:hAnsiTheme="majorBidi" w:cstheme="majorBidi"/>
          <w:color w:val="auto"/>
        </w:rPr>
        <w:t xml:space="preserve">consent decree in 2004. However, </w:t>
      </w:r>
      <w:r w:rsidR="003A1388" w:rsidRPr="00665F4A">
        <w:rPr>
          <w:rFonts w:asciiTheme="majorBidi" w:hAnsiTheme="majorBidi" w:cstheme="majorBidi"/>
          <w:color w:val="auto"/>
        </w:rPr>
        <w:t>reduction of recidivism has only seen a modest fall from 56% to 53%</w:t>
      </w:r>
      <w:r w:rsidR="00655A0F">
        <w:rPr>
          <w:rFonts w:asciiTheme="majorBidi" w:hAnsiTheme="majorBidi" w:cstheme="majorBidi"/>
          <w:color w:val="auto"/>
        </w:rPr>
        <w:t xml:space="preserve">  between </w:t>
      </w:r>
      <w:r w:rsidR="003A1388" w:rsidRPr="00665F4A">
        <w:rPr>
          <w:rFonts w:asciiTheme="majorBidi" w:hAnsiTheme="majorBidi" w:cstheme="majorBidi"/>
          <w:color w:val="auto"/>
        </w:rPr>
        <w:t>2004</w:t>
      </w:r>
      <w:r w:rsidR="00655A0F">
        <w:rPr>
          <w:rFonts w:asciiTheme="majorBidi" w:hAnsiTheme="majorBidi" w:cstheme="majorBidi"/>
          <w:color w:val="auto"/>
        </w:rPr>
        <w:t xml:space="preserve"> &amp; 2008</w:t>
      </w:r>
      <w:r w:rsidR="003C3E5F">
        <w:rPr>
          <w:rFonts w:asciiTheme="majorBidi" w:hAnsiTheme="majorBidi" w:cstheme="majorBidi"/>
          <w:color w:val="auto"/>
        </w:rPr>
        <w:t>, indicating a slower pace of change</w:t>
      </w:r>
      <w:r w:rsidR="003A1388" w:rsidRPr="00665F4A">
        <w:rPr>
          <w:rFonts w:asciiTheme="majorBidi" w:hAnsiTheme="majorBidi" w:cstheme="majorBidi"/>
          <w:color w:val="auto"/>
        </w:rPr>
        <w:t>.</w:t>
      </w:r>
      <w:r w:rsidR="003A1388" w:rsidRPr="00665F4A">
        <w:rPr>
          <w:rStyle w:val="FootnoteReference"/>
          <w:rFonts w:asciiTheme="majorBidi" w:hAnsiTheme="majorBidi" w:cstheme="majorBidi"/>
          <w:color w:val="auto"/>
        </w:rPr>
        <w:footnoteReference w:id="5"/>
      </w:r>
      <w:r w:rsidR="003A1388" w:rsidRPr="00665F4A">
        <w:rPr>
          <w:rFonts w:asciiTheme="majorBidi" w:hAnsiTheme="majorBidi" w:cstheme="majorBidi"/>
          <w:color w:val="auto"/>
        </w:rPr>
        <w:t xml:space="preserve"> </w:t>
      </w:r>
    </w:p>
    <w:p w14:paraId="71387CB8" w14:textId="1F15A531" w:rsidR="00480138" w:rsidRPr="00665F4A" w:rsidRDefault="00480138" w:rsidP="00480138">
      <w:pPr>
        <w:pStyle w:val="Default"/>
        <w:rPr>
          <w:rFonts w:asciiTheme="majorBidi" w:hAnsiTheme="majorBidi" w:cstheme="majorBidi"/>
          <w:sz w:val="18"/>
          <w:szCs w:val="18"/>
        </w:rPr>
      </w:pPr>
    </w:p>
    <w:p w14:paraId="1C6F1681" w14:textId="77777777" w:rsidR="00480138" w:rsidRPr="00665F4A" w:rsidRDefault="00480138" w:rsidP="00480138">
      <w:pPr>
        <w:pStyle w:val="Default"/>
        <w:rPr>
          <w:rFonts w:asciiTheme="majorBidi" w:hAnsiTheme="majorBidi" w:cstheme="majorBidi"/>
          <w:sz w:val="18"/>
          <w:szCs w:val="18"/>
        </w:rPr>
      </w:pPr>
    </w:p>
    <w:p w14:paraId="41A00E33" w14:textId="77777777" w:rsidR="0096410D" w:rsidRPr="00665F4A" w:rsidRDefault="0096410D" w:rsidP="0096410D">
      <w:pPr>
        <w:rPr>
          <w:rFonts w:asciiTheme="majorBidi" w:hAnsiTheme="majorBidi" w:cstheme="majorBidi"/>
          <w:b/>
          <w:bCs/>
          <w:lang w:val="en-US"/>
        </w:rPr>
      </w:pPr>
      <w:r w:rsidRPr="00665F4A">
        <w:rPr>
          <w:rFonts w:asciiTheme="majorBidi" w:hAnsiTheme="majorBidi" w:cstheme="majorBidi"/>
          <w:b/>
          <w:bCs/>
          <w:lang w:val="en-US"/>
        </w:rPr>
        <w:t>Recommendations</w:t>
      </w:r>
    </w:p>
    <w:p w14:paraId="6C2F1A9D" w14:textId="77777777" w:rsidR="00ED2666" w:rsidRPr="00665F4A" w:rsidRDefault="00ED2666" w:rsidP="0096410D">
      <w:pPr>
        <w:rPr>
          <w:rFonts w:asciiTheme="majorBidi" w:hAnsiTheme="majorBidi" w:cstheme="majorBidi"/>
          <w:lang w:val="en-US"/>
        </w:rPr>
      </w:pPr>
    </w:p>
    <w:p w14:paraId="260852D2" w14:textId="153FD27A" w:rsidR="006A08DF" w:rsidRPr="00665F4A" w:rsidRDefault="00ED2666" w:rsidP="00ED2666">
      <w:pPr>
        <w:rPr>
          <w:rFonts w:asciiTheme="majorBidi" w:hAnsiTheme="majorBidi" w:cstheme="majorBidi"/>
          <w:lang w:val="en-US"/>
        </w:rPr>
      </w:pPr>
      <w:r w:rsidRPr="00665F4A">
        <w:rPr>
          <w:rFonts w:asciiTheme="majorBidi" w:hAnsiTheme="majorBidi" w:cstheme="majorBidi"/>
          <w:lang w:val="en-US"/>
        </w:rPr>
        <w:t>A</w:t>
      </w:r>
      <w:r w:rsidR="005302FD" w:rsidRPr="00665F4A">
        <w:rPr>
          <w:rFonts w:asciiTheme="majorBidi" w:hAnsiTheme="majorBidi" w:cstheme="majorBidi"/>
          <w:lang w:val="en-US"/>
        </w:rPr>
        <w:t xml:space="preserve"> study by Bert Burraston </w:t>
      </w:r>
      <w:r w:rsidR="00D203BC" w:rsidRPr="00665F4A">
        <w:rPr>
          <w:rFonts w:asciiTheme="majorBidi" w:hAnsiTheme="majorBidi" w:cstheme="majorBidi"/>
          <w:lang w:val="en-US"/>
        </w:rPr>
        <w:t>et al</w:t>
      </w:r>
      <w:r w:rsidRPr="00665F4A">
        <w:rPr>
          <w:rFonts w:asciiTheme="majorBidi" w:hAnsiTheme="majorBidi" w:cstheme="majorBidi"/>
          <w:lang w:val="en-US"/>
        </w:rPr>
        <w:t xml:space="preserve">. focused on a program conducted in </w:t>
      </w:r>
      <w:r w:rsidR="00AF19BB">
        <w:rPr>
          <w:rFonts w:asciiTheme="majorBidi" w:hAnsiTheme="majorBidi" w:cstheme="majorBidi"/>
          <w:lang w:val="en-US"/>
        </w:rPr>
        <w:t>a w</w:t>
      </w:r>
      <w:r w:rsidRPr="00665F4A">
        <w:rPr>
          <w:rFonts w:asciiTheme="majorBidi" w:hAnsiTheme="majorBidi" w:cstheme="majorBidi"/>
          <w:lang w:val="en-US"/>
        </w:rPr>
        <w:t xml:space="preserve">estern US where </w:t>
      </w:r>
      <w:r w:rsidR="000A5056" w:rsidRPr="00665F4A">
        <w:rPr>
          <w:rFonts w:asciiTheme="majorBidi" w:hAnsiTheme="majorBidi" w:cstheme="majorBidi"/>
          <w:lang w:val="en-US"/>
        </w:rPr>
        <w:t>39</w:t>
      </w:r>
      <w:r w:rsidR="00C37009" w:rsidRPr="00665F4A">
        <w:rPr>
          <w:rFonts w:asciiTheme="majorBidi" w:hAnsiTheme="majorBidi" w:cstheme="majorBidi"/>
          <w:lang w:val="en-US"/>
        </w:rPr>
        <w:t xml:space="preserve"> </w:t>
      </w:r>
      <w:r w:rsidRPr="00665F4A">
        <w:rPr>
          <w:rFonts w:asciiTheme="majorBidi" w:hAnsiTheme="majorBidi" w:cstheme="majorBidi"/>
          <w:lang w:val="en-US"/>
        </w:rPr>
        <w:t xml:space="preserve">participants </w:t>
      </w:r>
      <w:r w:rsidR="00C37009" w:rsidRPr="00665F4A">
        <w:rPr>
          <w:rFonts w:asciiTheme="majorBidi" w:hAnsiTheme="majorBidi" w:cstheme="majorBidi"/>
          <w:lang w:val="en-US"/>
        </w:rPr>
        <w:t xml:space="preserve">had the opportunity to </w:t>
      </w:r>
      <w:r w:rsidRPr="00665F4A">
        <w:rPr>
          <w:rFonts w:asciiTheme="majorBidi" w:hAnsiTheme="majorBidi" w:cstheme="majorBidi"/>
          <w:lang w:val="en-US"/>
        </w:rPr>
        <w:t xml:space="preserve">receive six weekly cognitive </w:t>
      </w:r>
      <w:r w:rsidR="00F73311">
        <w:rPr>
          <w:rFonts w:asciiTheme="majorBidi" w:hAnsiTheme="majorBidi" w:cstheme="majorBidi"/>
          <w:lang w:val="en-US"/>
        </w:rPr>
        <w:t>behavioral</w:t>
      </w:r>
      <w:r w:rsidRPr="00665F4A">
        <w:rPr>
          <w:rFonts w:asciiTheme="majorBidi" w:hAnsiTheme="majorBidi" w:cstheme="majorBidi"/>
          <w:lang w:val="en-US"/>
        </w:rPr>
        <w:t xml:space="preserve"> therapy sessions that lasted 90 minutes accompanied</w:t>
      </w:r>
      <w:r w:rsidR="00AF19BB">
        <w:rPr>
          <w:rFonts w:asciiTheme="majorBidi" w:hAnsiTheme="majorBidi" w:cstheme="majorBidi"/>
          <w:lang w:val="en-US"/>
        </w:rPr>
        <w:t xml:space="preserve"> </w:t>
      </w:r>
      <w:r w:rsidRPr="00665F4A">
        <w:rPr>
          <w:rFonts w:asciiTheme="majorBidi" w:hAnsiTheme="majorBidi" w:cstheme="majorBidi"/>
          <w:lang w:val="en-US"/>
        </w:rPr>
        <w:t xml:space="preserve">by phone calls twice a day that lasted for </w:t>
      </w:r>
      <w:r w:rsidR="00655A0F" w:rsidRPr="00665F4A">
        <w:rPr>
          <w:rFonts w:asciiTheme="majorBidi" w:hAnsiTheme="majorBidi" w:cstheme="majorBidi"/>
          <w:lang w:val="en-US"/>
        </w:rPr>
        <w:t>one-year</w:t>
      </w:r>
      <w:r w:rsidRPr="00665F4A">
        <w:rPr>
          <w:rFonts w:asciiTheme="majorBidi" w:hAnsiTheme="majorBidi" w:cstheme="majorBidi"/>
          <w:lang w:val="en-US"/>
        </w:rPr>
        <w:t xml:space="preserve"> period post-therapy.</w:t>
      </w:r>
      <w:r w:rsidR="001F342A" w:rsidRPr="00665F4A">
        <w:rPr>
          <w:rStyle w:val="FootnoteReference"/>
          <w:rFonts w:asciiTheme="majorBidi" w:hAnsiTheme="majorBidi" w:cstheme="majorBidi"/>
          <w:lang w:val="en-US"/>
        </w:rPr>
        <w:footnoteReference w:id="6"/>
      </w:r>
      <w:r w:rsidRPr="00665F4A">
        <w:rPr>
          <w:rFonts w:asciiTheme="majorBidi" w:hAnsiTheme="majorBidi" w:cstheme="majorBidi"/>
          <w:lang w:val="en-US"/>
        </w:rPr>
        <w:t xml:space="preserve"> </w:t>
      </w:r>
      <w:r w:rsidR="00221442" w:rsidRPr="00665F4A">
        <w:rPr>
          <w:rFonts w:asciiTheme="majorBidi" w:hAnsiTheme="majorBidi" w:cstheme="majorBidi"/>
          <w:lang w:val="en-US"/>
        </w:rPr>
        <w:t xml:space="preserve">The therapy culminated </w:t>
      </w:r>
      <w:r w:rsidR="00AF19BB">
        <w:rPr>
          <w:rFonts w:asciiTheme="majorBidi" w:hAnsiTheme="majorBidi" w:cstheme="majorBidi"/>
          <w:lang w:val="en-US"/>
        </w:rPr>
        <w:t>in</w:t>
      </w:r>
      <w:r w:rsidR="00221442" w:rsidRPr="00665F4A">
        <w:rPr>
          <w:rFonts w:asciiTheme="majorBidi" w:hAnsiTheme="majorBidi" w:cstheme="majorBidi"/>
          <w:lang w:val="en-US"/>
        </w:rPr>
        <w:t xml:space="preserve"> setting</w:t>
      </w:r>
      <w:r w:rsidR="00D32F40" w:rsidRPr="00665F4A">
        <w:rPr>
          <w:rFonts w:asciiTheme="majorBidi" w:hAnsiTheme="majorBidi" w:cstheme="majorBidi"/>
          <w:lang w:val="en-US"/>
        </w:rPr>
        <w:t xml:space="preserve"> </w:t>
      </w:r>
      <w:r w:rsidR="00C37009" w:rsidRPr="00665F4A">
        <w:rPr>
          <w:rFonts w:asciiTheme="majorBidi" w:hAnsiTheme="majorBidi" w:cstheme="majorBidi"/>
          <w:lang w:val="en-US"/>
        </w:rPr>
        <w:t xml:space="preserve">some </w:t>
      </w:r>
      <w:r w:rsidR="00AF19BB">
        <w:rPr>
          <w:rFonts w:asciiTheme="majorBidi" w:hAnsiTheme="majorBidi" w:cstheme="majorBidi"/>
          <w:lang w:val="en-US"/>
        </w:rPr>
        <w:t xml:space="preserve">long-term </w:t>
      </w:r>
      <w:r w:rsidR="00C37009" w:rsidRPr="00665F4A">
        <w:rPr>
          <w:rFonts w:asciiTheme="majorBidi" w:hAnsiTheme="majorBidi" w:cstheme="majorBidi"/>
          <w:lang w:val="en-US"/>
        </w:rPr>
        <w:t xml:space="preserve">goals. Automated phone calls reinforced the motivation behind </w:t>
      </w:r>
      <w:r w:rsidR="008B1C9F">
        <w:rPr>
          <w:rFonts w:asciiTheme="majorBidi" w:hAnsiTheme="majorBidi" w:cstheme="majorBidi"/>
          <w:lang w:val="en-US"/>
        </w:rPr>
        <w:t>developing</w:t>
      </w:r>
      <w:r w:rsidR="00C37009" w:rsidRPr="00665F4A">
        <w:rPr>
          <w:rFonts w:asciiTheme="majorBidi" w:hAnsiTheme="majorBidi" w:cstheme="majorBidi"/>
          <w:lang w:val="en-US"/>
        </w:rPr>
        <w:t xml:space="preserve"> such a goal and exposed them to pre-recorded messages of encouragement from family and friends. 11 </w:t>
      </w:r>
      <w:r w:rsidR="000A5056" w:rsidRPr="00665F4A">
        <w:rPr>
          <w:rFonts w:asciiTheme="majorBidi" w:hAnsiTheme="majorBidi" w:cstheme="majorBidi"/>
          <w:lang w:val="en-US"/>
        </w:rPr>
        <w:t xml:space="preserve">of the 76 </w:t>
      </w:r>
      <w:r w:rsidR="006A08DF" w:rsidRPr="00665F4A">
        <w:rPr>
          <w:rFonts w:asciiTheme="majorBidi" w:hAnsiTheme="majorBidi" w:cstheme="majorBidi"/>
          <w:lang w:val="en-US"/>
        </w:rPr>
        <w:t xml:space="preserve">study </w:t>
      </w:r>
      <w:r w:rsidR="00C37009" w:rsidRPr="00665F4A">
        <w:rPr>
          <w:rFonts w:asciiTheme="majorBidi" w:hAnsiTheme="majorBidi" w:cstheme="majorBidi"/>
          <w:lang w:val="en-US"/>
        </w:rPr>
        <w:t xml:space="preserve">participants </w:t>
      </w:r>
      <w:r w:rsidR="000A5056" w:rsidRPr="00665F4A">
        <w:rPr>
          <w:rFonts w:asciiTheme="majorBidi" w:hAnsiTheme="majorBidi" w:cstheme="majorBidi"/>
          <w:lang w:val="en-US"/>
        </w:rPr>
        <w:lastRenderedPageBreak/>
        <w:t xml:space="preserve">choose </w:t>
      </w:r>
      <w:r w:rsidR="007D1413">
        <w:rPr>
          <w:rFonts w:asciiTheme="majorBidi" w:hAnsiTheme="majorBidi" w:cstheme="majorBidi"/>
          <w:lang w:val="en-US"/>
        </w:rPr>
        <w:t>not to</w:t>
      </w:r>
      <w:r w:rsidR="00C37009" w:rsidRPr="00665F4A">
        <w:rPr>
          <w:rFonts w:asciiTheme="majorBidi" w:hAnsiTheme="majorBidi" w:cstheme="majorBidi"/>
          <w:lang w:val="en-US"/>
        </w:rPr>
        <w:t xml:space="preserve"> partake in the phone call.</w:t>
      </w:r>
      <w:r w:rsidR="006A08DF" w:rsidRPr="00665F4A">
        <w:rPr>
          <w:rFonts w:asciiTheme="majorBidi" w:hAnsiTheme="majorBidi" w:cstheme="majorBidi"/>
          <w:lang w:val="en-US"/>
        </w:rPr>
        <w:t xml:space="preserve"> 31 participants were in the control group</w:t>
      </w:r>
      <w:r w:rsidR="007D1413">
        <w:rPr>
          <w:rFonts w:asciiTheme="majorBidi" w:hAnsiTheme="majorBidi" w:cstheme="majorBidi"/>
          <w:lang w:val="en-US"/>
        </w:rPr>
        <w:t>,</w:t>
      </w:r>
      <w:r w:rsidR="006A08DF" w:rsidRPr="00665F4A">
        <w:rPr>
          <w:rFonts w:asciiTheme="majorBidi" w:hAnsiTheme="majorBidi" w:cstheme="majorBidi"/>
          <w:lang w:val="en-US"/>
        </w:rPr>
        <w:t xml:space="preserve"> while 6 left the study midway because they </w:t>
      </w:r>
      <w:r w:rsidR="00F358AD">
        <w:rPr>
          <w:rFonts w:asciiTheme="majorBidi" w:hAnsiTheme="majorBidi" w:cstheme="majorBidi"/>
          <w:lang w:val="en-US"/>
        </w:rPr>
        <w:t xml:space="preserve">permanently </w:t>
      </w:r>
      <w:r w:rsidR="006A08DF" w:rsidRPr="00665F4A">
        <w:rPr>
          <w:rFonts w:asciiTheme="majorBidi" w:hAnsiTheme="majorBidi" w:cstheme="majorBidi"/>
          <w:lang w:val="en-US"/>
        </w:rPr>
        <w:t>moved out-of-town.</w:t>
      </w:r>
      <w:r w:rsidR="00C37009" w:rsidRPr="00665F4A">
        <w:rPr>
          <w:rStyle w:val="FootnoteReference"/>
          <w:rFonts w:asciiTheme="majorBidi" w:hAnsiTheme="majorBidi" w:cstheme="majorBidi"/>
          <w:lang w:val="en-US"/>
        </w:rPr>
        <w:footnoteReference w:id="7"/>
      </w:r>
      <w:r w:rsidR="006A08DF" w:rsidRPr="00665F4A">
        <w:rPr>
          <w:rFonts w:asciiTheme="majorBidi" w:hAnsiTheme="majorBidi" w:cstheme="majorBidi"/>
          <w:lang w:val="en-US"/>
        </w:rPr>
        <w:t xml:space="preserve"> </w:t>
      </w:r>
    </w:p>
    <w:p w14:paraId="38034DDE" w14:textId="77777777" w:rsidR="006A08DF" w:rsidRPr="00665F4A" w:rsidRDefault="006A08DF" w:rsidP="00ED2666">
      <w:pPr>
        <w:rPr>
          <w:rFonts w:asciiTheme="majorBidi" w:hAnsiTheme="majorBidi" w:cstheme="majorBidi"/>
          <w:lang w:val="en-US"/>
        </w:rPr>
      </w:pPr>
    </w:p>
    <w:p w14:paraId="1A586AAA" w14:textId="4F1CCFEE" w:rsidR="00DE5823" w:rsidRPr="00665F4A" w:rsidRDefault="006A08DF" w:rsidP="00ED2666">
      <w:pPr>
        <w:rPr>
          <w:rFonts w:asciiTheme="majorBidi" w:hAnsiTheme="majorBidi" w:cstheme="majorBidi"/>
        </w:rPr>
      </w:pPr>
      <w:r w:rsidRPr="00665F4A">
        <w:rPr>
          <w:rFonts w:asciiTheme="majorBidi" w:hAnsiTheme="majorBidi" w:cstheme="majorBidi"/>
          <w:lang w:val="en-US"/>
        </w:rPr>
        <w:t xml:space="preserve">The study discovered that </w:t>
      </w:r>
      <w:r w:rsidRPr="00665F4A">
        <w:rPr>
          <w:rFonts w:asciiTheme="majorBidi" w:hAnsiTheme="majorBidi" w:cstheme="majorBidi"/>
          <w:b/>
          <w:bCs/>
          <w:lang w:val="en-US"/>
        </w:rPr>
        <w:t xml:space="preserve">participants who received </w:t>
      </w:r>
      <w:r w:rsidRPr="00665F4A">
        <w:rPr>
          <w:rFonts w:asciiTheme="majorBidi" w:hAnsiTheme="majorBidi" w:cstheme="majorBidi"/>
          <w:b/>
          <w:bCs/>
          <w:i/>
          <w:iCs/>
          <w:lang w:val="en-US"/>
        </w:rPr>
        <w:t xml:space="preserve">both </w:t>
      </w:r>
      <w:r w:rsidRPr="00665F4A">
        <w:rPr>
          <w:rFonts w:asciiTheme="majorBidi" w:hAnsiTheme="majorBidi" w:cstheme="majorBidi"/>
          <w:b/>
          <w:bCs/>
          <w:lang w:val="en-US"/>
        </w:rPr>
        <w:t>the therapy and</w:t>
      </w:r>
      <w:r w:rsidR="00C37009" w:rsidRPr="00665F4A">
        <w:rPr>
          <w:rFonts w:asciiTheme="majorBidi" w:hAnsiTheme="majorBidi" w:cstheme="majorBidi"/>
          <w:b/>
          <w:bCs/>
          <w:lang w:val="en-US"/>
        </w:rPr>
        <w:t xml:space="preserve"> </w:t>
      </w:r>
      <w:r w:rsidR="00F37DA6" w:rsidRPr="00665F4A">
        <w:rPr>
          <w:rFonts w:asciiTheme="majorBidi" w:hAnsiTheme="majorBidi" w:cstheme="majorBidi"/>
          <w:b/>
          <w:bCs/>
          <w:lang w:val="en-US"/>
        </w:rPr>
        <w:t>answered the</w:t>
      </w:r>
      <w:r w:rsidRPr="00665F4A">
        <w:rPr>
          <w:rFonts w:asciiTheme="majorBidi" w:hAnsiTheme="majorBidi" w:cstheme="majorBidi"/>
          <w:b/>
          <w:bCs/>
          <w:lang w:val="en-US"/>
        </w:rPr>
        <w:t xml:space="preserve"> automated phone calls</w:t>
      </w:r>
      <w:r w:rsidR="00F37DA6" w:rsidRPr="00665F4A">
        <w:rPr>
          <w:rFonts w:asciiTheme="majorBidi" w:hAnsiTheme="majorBidi" w:cstheme="majorBidi"/>
          <w:b/>
          <w:bCs/>
          <w:lang w:val="en-US"/>
        </w:rPr>
        <w:t xml:space="preserve"> in high numbers</w:t>
      </w:r>
      <w:r w:rsidRPr="00665F4A">
        <w:rPr>
          <w:rFonts w:asciiTheme="majorBidi" w:hAnsiTheme="majorBidi" w:cstheme="majorBidi"/>
          <w:b/>
          <w:bCs/>
          <w:lang w:val="en-US"/>
        </w:rPr>
        <w:t xml:space="preserve"> saw a </w:t>
      </w:r>
      <w:r w:rsidR="00F37DA6" w:rsidRPr="00665F4A">
        <w:rPr>
          <w:rFonts w:asciiTheme="majorBidi" w:hAnsiTheme="majorBidi" w:cstheme="majorBidi"/>
          <w:b/>
          <w:bCs/>
        </w:rPr>
        <w:t>re-arrest rate the year following completion</w:t>
      </w:r>
      <w:r w:rsidRPr="00665F4A">
        <w:rPr>
          <w:rFonts w:asciiTheme="majorBidi" w:hAnsiTheme="majorBidi" w:cstheme="majorBidi"/>
          <w:b/>
          <w:bCs/>
        </w:rPr>
        <w:t xml:space="preserve"> of</w:t>
      </w:r>
      <w:r w:rsidR="00F37DA6" w:rsidRPr="00665F4A">
        <w:rPr>
          <w:rFonts w:asciiTheme="majorBidi" w:hAnsiTheme="majorBidi" w:cstheme="majorBidi"/>
          <w:b/>
          <w:bCs/>
        </w:rPr>
        <w:t xml:space="preserve"> treatment of 39%</w:t>
      </w:r>
      <w:r w:rsidR="007D1413">
        <w:rPr>
          <w:rFonts w:asciiTheme="majorBidi" w:hAnsiTheme="majorBidi" w:cstheme="majorBidi"/>
          <w:b/>
          <w:bCs/>
        </w:rPr>
        <w:t>,</w:t>
      </w:r>
      <w:r w:rsidR="00F37DA6" w:rsidRPr="00665F4A">
        <w:rPr>
          <w:rFonts w:asciiTheme="majorBidi" w:hAnsiTheme="majorBidi" w:cstheme="majorBidi"/>
          <w:b/>
          <w:bCs/>
        </w:rPr>
        <w:t xml:space="preserve"> whilst those in the control groups saw a rate of 90%. Regressions indicate </w:t>
      </w:r>
      <w:r w:rsidR="003C3E5F">
        <w:rPr>
          <w:rFonts w:asciiTheme="majorBidi" w:hAnsiTheme="majorBidi" w:cstheme="majorBidi"/>
          <w:b/>
          <w:bCs/>
        </w:rPr>
        <w:t>a robust</w:t>
      </w:r>
      <w:r w:rsidR="00F37DA6" w:rsidRPr="00665F4A">
        <w:rPr>
          <w:rFonts w:asciiTheme="majorBidi" w:hAnsiTheme="majorBidi" w:cstheme="majorBidi"/>
          <w:b/>
          <w:bCs/>
        </w:rPr>
        <w:t xml:space="preserve"> correlation between the full </w:t>
      </w:r>
      <w:r w:rsidR="003C3E5F">
        <w:rPr>
          <w:rFonts w:asciiTheme="majorBidi" w:hAnsiTheme="majorBidi" w:cstheme="majorBidi"/>
          <w:b/>
          <w:bCs/>
        </w:rPr>
        <w:t>realization</w:t>
      </w:r>
      <w:r w:rsidR="00F37DA6" w:rsidRPr="00665F4A">
        <w:rPr>
          <w:rFonts w:asciiTheme="majorBidi" w:hAnsiTheme="majorBidi" w:cstheme="majorBidi"/>
          <w:b/>
          <w:bCs/>
        </w:rPr>
        <w:t xml:space="preserve"> of the program and </w:t>
      </w:r>
      <w:r w:rsidR="007D1413">
        <w:rPr>
          <w:rFonts w:asciiTheme="majorBidi" w:hAnsiTheme="majorBidi" w:cstheme="majorBidi"/>
          <w:b/>
          <w:bCs/>
        </w:rPr>
        <w:t xml:space="preserve">a </w:t>
      </w:r>
      <w:r w:rsidR="00861090" w:rsidRPr="00665F4A">
        <w:rPr>
          <w:rFonts w:asciiTheme="majorBidi" w:hAnsiTheme="majorBidi" w:cstheme="majorBidi"/>
          <w:b/>
          <w:bCs/>
        </w:rPr>
        <w:t xml:space="preserve">fall in </w:t>
      </w:r>
      <w:r w:rsidR="00F37DA6" w:rsidRPr="00665F4A">
        <w:rPr>
          <w:rFonts w:asciiTheme="majorBidi" w:hAnsiTheme="majorBidi" w:cstheme="majorBidi"/>
          <w:b/>
          <w:bCs/>
        </w:rPr>
        <w:t>recidivism</w:t>
      </w:r>
      <w:r w:rsidR="00861090" w:rsidRPr="00665F4A">
        <w:rPr>
          <w:rFonts w:asciiTheme="majorBidi" w:hAnsiTheme="majorBidi" w:cstheme="majorBidi"/>
          <w:b/>
          <w:bCs/>
        </w:rPr>
        <w:t>.</w:t>
      </w:r>
      <w:r w:rsidR="00F37DA6" w:rsidRPr="00665F4A">
        <w:rPr>
          <w:rFonts w:asciiTheme="majorBidi" w:hAnsiTheme="majorBidi" w:cstheme="majorBidi"/>
          <w:b/>
          <w:bCs/>
        </w:rPr>
        <w:t xml:space="preserve">  </w:t>
      </w:r>
      <w:r w:rsidR="00F37DA6" w:rsidRPr="00665F4A">
        <w:rPr>
          <w:rFonts w:asciiTheme="majorBidi" w:hAnsiTheme="majorBidi" w:cstheme="majorBidi"/>
        </w:rPr>
        <w:t xml:space="preserve">Note that these figures controlled </w:t>
      </w:r>
      <w:r w:rsidR="00861090" w:rsidRPr="00665F4A">
        <w:rPr>
          <w:rFonts w:asciiTheme="majorBidi" w:hAnsiTheme="majorBidi" w:cstheme="majorBidi"/>
        </w:rPr>
        <w:t>for variables like race, sex, pre-existing motivation levels, etc.</w:t>
      </w:r>
      <w:r w:rsidR="007D1413">
        <w:rPr>
          <w:rFonts w:asciiTheme="majorBidi" w:hAnsiTheme="majorBidi" w:cstheme="majorBidi"/>
        </w:rPr>
        <w:t>,</w:t>
      </w:r>
      <w:r w:rsidR="00861090" w:rsidRPr="00665F4A">
        <w:rPr>
          <w:rFonts w:asciiTheme="majorBidi" w:hAnsiTheme="majorBidi" w:cstheme="majorBidi"/>
        </w:rPr>
        <w:t xml:space="preserve"> to establish such a relationship. Those who only participated in the cognitive therapy witnessed poorer outcomes.</w:t>
      </w:r>
      <w:r w:rsidR="00C77D3E" w:rsidRPr="00665F4A">
        <w:rPr>
          <w:rFonts w:asciiTheme="majorBidi" w:hAnsiTheme="majorBidi" w:cstheme="majorBidi"/>
        </w:rPr>
        <w:t xml:space="preserve"> The program </w:t>
      </w:r>
      <w:r w:rsidR="007D1413">
        <w:rPr>
          <w:rFonts w:asciiTheme="majorBidi" w:hAnsiTheme="majorBidi" w:cstheme="majorBidi"/>
        </w:rPr>
        <w:t>utilizes</w:t>
      </w:r>
      <w:r w:rsidR="00C77D3E" w:rsidRPr="00665F4A">
        <w:rPr>
          <w:rFonts w:asciiTheme="majorBidi" w:hAnsiTheme="majorBidi" w:cstheme="majorBidi"/>
        </w:rPr>
        <w:t xml:space="preserve"> the </w:t>
      </w:r>
      <w:r w:rsidR="006B0E90" w:rsidRPr="006B0E90">
        <w:rPr>
          <w:rFonts w:asciiTheme="majorBidi" w:hAnsiTheme="majorBidi" w:cstheme="majorBidi"/>
        </w:rPr>
        <w:t xml:space="preserve">psychological </w:t>
      </w:r>
      <w:r w:rsidR="001166CF">
        <w:rPr>
          <w:rFonts w:asciiTheme="majorBidi" w:hAnsiTheme="majorBidi" w:cstheme="majorBidi"/>
        </w:rPr>
        <w:t>theory</w:t>
      </w:r>
      <w:r w:rsidR="00C77D3E" w:rsidRPr="00665F4A">
        <w:rPr>
          <w:rFonts w:asciiTheme="majorBidi" w:hAnsiTheme="majorBidi" w:cstheme="majorBidi"/>
        </w:rPr>
        <w:t xml:space="preserve"> that</w:t>
      </w:r>
      <w:r w:rsidR="007D1413">
        <w:rPr>
          <w:rFonts w:asciiTheme="majorBidi" w:hAnsiTheme="majorBidi" w:cstheme="majorBidi"/>
        </w:rPr>
        <w:t xml:space="preserve"> </w:t>
      </w:r>
      <w:r w:rsidR="00C77D3E" w:rsidRPr="00665F4A">
        <w:rPr>
          <w:rFonts w:asciiTheme="majorBidi" w:hAnsiTheme="majorBidi" w:cstheme="majorBidi"/>
        </w:rPr>
        <w:t xml:space="preserve">building a </w:t>
      </w:r>
      <w:r w:rsidR="00221770" w:rsidRPr="00665F4A">
        <w:rPr>
          <w:rFonts w:asciiTheme="majorBidi" w:hAnsiTheme="majorBidi" w:cstheme="majorBidi"/>
        </w:rPr>
        <w:t xml:space="preserve">new, </w:t>
      </w:r>
      <w:r w:rsidR="00C77D3E" w:rsidRPr="00665F4A">
        <w:rPr>
          <w:rFonts w:asciiTheme="majorBidi" w:hAnsiTheme="majorBidi" w:cstheme="majorBidi"/>
        </w:rPr>
        <w:t>strong</w:t>
      </w:r>
      <w:r w:rsidR="00221770" w:rsidRPr="00665F4A">
        <w:rPr>
          <w:rFonts w:asciiTheme="majorBidi" w:hAnsiTheme="majorBidi" w:cstheme="majorBidi"/>
        </w:rPr>
        <w:t>er</w:t>
      </w:r>
      <w:r w:rsidR="00C77D3E" w:rsidRPr="00665F4A">
        <w:rPr>
          <w:rFonts w:asciiTheme="majorBidi" w:hAnsiTheme="majorBidi" w:cstheme="majorBidi"/>
        </w:rPr>
        <w:t xml:space="preserve"> support system with family</w:t>
      </w:r>
      <w:r w:rsidR="00221770" w:rsidRPr="00665F4A">
        <w:rPr>
          <w:rFonts w:asciiTheme="majorBidi" w:hAnsiTheme="majorBidi" w:cstheme="majorBidi"/>
        </w:rPr>
        <w:t xml:space="preserve"> </w:t>
      </w:r>
      <w:r w:rsidR="007D1413" w:rsidRPr="00665F4A">
        <w:rPr>
          <w:rFonts w:asciiTheme="majorBidi" w:hAnsiTheme="majorBidi" w:cstheme="majorBidi"/>
        </w:rPr>
        <w:t xml:space="preserve">&amp; friends </w:t>
      </w:r>
      <w:r w:rsidR="007D1413">
        <w:rPr>
          <w:rFonts w:asciiTheme="majorBidi" w:hAnsiTheme="majorBidi" w:cstheme="majorBidi"/>
        </w:rPr>
        <w:t xml:space="preserve">helps create change </w:t>
      </w:r>
      <w:r w:rsidR="00C77D3E" w:rsidRPr="00665F4A">
        <w:rPr>
          <w:rFonts w:asciiTheme="majorBidi" w:hAnsiTheme="majorBidi" w:cstheme="majorBidi"/>
        </w:rPr>
        <w:t xml:space="preserve">and </w:t>
      </w:r>
      <w:r w:rsidR="00221770" w:rsidRPr="00665F4A">
        <w:rPr>
          <w:rFonts w:asciiTheme="majorBidi" w:hAnsiTheme="majorBidi" w:cstheme="majorBidi"/>
        </w:rPr>
        <w:t>recognizes</w:t>
      </w:r>
      <w:r w:rsidR="00C77D3E" w:rsidRPr="00665F4A">
        <w:rPr>
          <w:rFonts w:asciiTheme="majorBidi" w:hAnsiTheme="majorBidi" w:cstheme="majorBidi"/>
        </w:rPr>
        <w:t xml:space="preserve"> that individuals have the rational capacity to </w:t>
      </w:r>
      <w:r w:rsidR="001166CF">
        <w:rPr>
          <w:rFonts w:asciiTheme="majorBidi" w:hAnsiTheme="majorBidi" w:cstheme="majorBidi"/>
        </w:rPr>
        <w:t xml:space="preserve">foster such </w:t>
      </w:r>
      <w:r w:rsidR="00C77D3E" w:rsidRPr="00665F4A">
        <w:rPr>
          <w:rFonts w:asciiTheme="majorBidi" w:hAnsiTheme="majorBidi" w:cstheme="majorBidi"/>
        </w:rPr>
        <w:t>change.</w:t>
      </w:r>
      <w:r w:rsidR="00C77D3E" w:rsidRPr="00665F4A">
        <w:rPr>
          <w:rStyle w:val="FootnoteReference"/>
          <w:rFonts w:asciiTheme="majorBidi" w:hAnsiTheme="majorBidi" w:cstheme="majorBidi"/>
        </w:rPr>
        <w:footnoteReference w:id="8"/>
      </w:r>
    </w:p>
    <w:p w14:paraId="699A2AB1" w14:textId="5A64B7B8" w:rsidR="00861090" w:rsidRPr="00665F4A" w:rsidRDefault="00861090" w:rsidP="00ED2666">
      <w:pPr>
        <w:rPr>
          <w:rFonts w:asciiTheme="majorBidi" w:hAnsiTheme="majorBidi" w:cstheme="majorBidi"/>
          <w:lang w:val="en-US"/>
        </w:rPr>
      </w:pPr>
    </w:p>
    <w:p w14:paraId="64E8EB81" w14:textId="0403C82A" w:rsidR="00861090" w:rsidRPr="00665F4A" w:rsidRDefault="00C77D3E" w:rsidP="00ED2666">
      <w:pPr>
        <w:rPr>
          <w:rFonts w:asciiTheme="majorBidi" w:hAnsiTheme="majorBidi" w:cstheme="majorBidi"/>
          <w:lang w:val="en-US"/>
        </w:rPr>
      </w:pPr>
      <w:r w:rsidRPr="00665F4A">
        <w:rPr>
          <w:rFonts w:asciiTheme="majorBidi" w:hAnsiTheme="majorBidi" w:cstheme="majorBidi"/>
          <w:lang w:val="en-US"/>
        </w:rPr>
        <w:t>A study conducted by Stephen Bahr et al. on the effects of goal setting and cell phone calls produced</w:t>
      </w:r>
      <w:r w:rsidR="001166CF">
        <w:rPr>
          <w:rFonts w:asciiTheme="majorBidi" w:hAnsiTheme="majorBidi" w:cstheme="majorBidi"/>
          <w:lang w:val="en-US"/>
        </w:rPr>
        <w:t xml:space="preserve"> similar</w:t>
      </w:r>
      <w:r w:rsidRPr="00665F4A">
        <w:rPr>
          <w:rFonts w:asciiTheme="majorBidi" w:hAnsiTheme="majorBidi" w:cstheme="majorBidi"/>
          <w:lang w:val="en-US"/>
        </w:rPr>
        <w:t xml:space="preserve"> results</w:t>
      </w:r>
      <w:r w:rsidR="007D1413">
        <w:rPr>
          <w:rFonts w:asciiTheme="majorBidi" w:hAnsiTheme="majorBidi" w:cstheme="majorBidi"/>
          <w:lang w:val="en-US"/>
        </w:rPr>
        <w:t>,</w:t>
      </w:r>
      <w:r w:rsidR="00844CE6" w:rsidRPr="00665F4A">
        <w:rPr>
          <w:rFonts w:asciiTheme="majorBidi" w:hAnsiTheme="majorBidi" w:cstheme="majorBidi"/>
          <w:lang w:val="en-US"/>
        </w:rPr>
        <w:t xml:space="preserve"> further affirming the study by Burraston et al</w:t>
      </w:r>
      <w:r w:rsidRPr="00665F4A">
        <w:rPr>
          <w:rFonts w:asciiTheme="majorBidi" w:hAnsiTheme="majorBidi" w:cstheme="majorBidi"/>
          <w:lang w:val="en-US"/>
        </w:rPr>
        <w:t xml:space="preserve">. </w:t>
      </w:r>
      <w:r w:rsidR="00DC1E3B" w:rsidRPr="00665F4A">
        <w:rPr>
          <w:rFonts w:asciiTheme="majorBidi" w:hAnsiTheme="majorBidi" w:cstheme="majorBidi"/>
          <w:lang w:val="en-US"/>
        </w:rPr>
        <w:t>The study took place in a</w:t>
      </w:r>
      <w:r w:rsidR="001166CF">
        <w:rPr>
          <w:rFonts w:asciiTheme="majorBidi" w:hAnsiTheme="majorBidi" w:cstheme="majorBidi"/>
          <w:lang w:val="en-US"/>
        </w:rPr>
        <w:t xml:space="preserve"> </w:t>
      </w:r>
      <w:r w:rsidR="00DC1E3B" w:rsidRPr="00665F4A">
        <w:rPr>
          <w:rFonts w:asciiTheme="majorBidi" w:hAnsiTheme="majorBidi" w:cstheme="majorBidi"/>
          <w:lang w:val="en-US"/>
        </w:rPr>
        <w:t>“intermountain” state with much larger sample size</w:t>
      </w:r>
      <w:r w:rsidR="00F358AD">
        <w:rPr>
          <w:rFonts w:asciiTheme="majorBidi" w:hAnsiTheme="majorBidi" w:cstheme="majorBidi"/>
          <w:lang w:val="en-US"/>
        </w:rPr>
        <w:t xml:space="preserve"> of 256</w:t>
      </w:r>
      <w:r w:rsidR="00DC1E3B" w:rsidRPr="00665F4A">
        <w:rPr>
          <w:rFonts w:asciiTheme="majorBidi" w:hAnsiTheme="majorBidi" w:cstheme="majorBidi"/>
          <w:lang w:val="en-US"/>
        </w:rPr>
        <w:t xml:space="preserve"> and also </w:t>
      </w:r>
      <w:r w:rsidR="00995215" w:rsidRPr="00665F4A">
        <w:rPr>
          <w:rFonts w:asciiTheme="majorBidi" w:hAnsiTheme="majorBidi" w:cstheme="majorBidi"/>
          <w:lang w:val="en-US"/>
        </w:rPr>
        <w:t>considers</w:t>
      </w:r>
      <w:r w:rsidR="00DC1E3B" w:rsidRPr="00665F4A">
        <w:rPr>
          <w:rFonts w:asciiTheme="majorBidi" w:hAnsiTheme="majorBidi" w:cstheme="majorBidi"/>
          <w:lang w:val="en-US"/>
        </w:rPr>
        <w:t xml:space="preserve"> arrests that occurred as an adult.</w:t>
      </w:r>
      <w:r w:rsidR="00995215" w:rsidRPr="00665F4A">
        <w:rPr>
          <w:rStyle w:val="FootnoteReference"/>
          <w:rFonts w:asciiTheme="majorBidi" w:hAnsiTheme="majorBidi" w:cstheme="majorBidi"/>
          <w:lang w:val="en-US"/>
        </w:rPr>
        <w:footnoteReference w:id="9"/>
      </w:r>
      <w:r w:rsidR="00DC1E3B" w:rsidRPr="00665F4A">
        <w:rPr>
          <w:rFonts w:asciiTheme="majorBidi" w:hAnsiTheme="majorBidi" w:cstheme="majorBidi"/>
          <w:lang w:val="en-US"/>
        </w:rPr>
        <w:t xml:space="preserve"> </w:t>
      </w:r>
      <w:r w:rsidR="00DC1E3B" w:rsidRPr="00665F4A">
        <w:rPr>
          <w:rFonts w:asciiTheme="majorBidi" w:hAnsiTheme="majorBidi" w:cstheme="majorBidi"/>
          <w:b/>
          <w:bCs/>
          <w:lang w:val="en-US"/>
        </w:rPr>
        <w:t xml:space="preserve">It found that </w:t>
      </w:r>
      <w:r w:rsidR="00995215" w:rsidRPr="00665F4A">
        <w:rPr>
          <w:rFonts w:asciiTheme="majorBidi" w:hAnsiTheme="majorBidi" w:cstheme="majorBidi"/>
          <w:b/>
          <w:bCs/>
          <w:lang w:val="en-US"/>
        </w:rPr>
        <w:t xml:space="preserve">therapy and automated phone calls have a </w:t>
      </w:r>
      <w:r w:rsidR="006B0E90">
        <w:rPr>
          <w:rFonts w:asciiTheme="majorBidi" w:hAnsiTheme="majorBidi" w:cstheme="majorBidi"/>
          <w:b/>
          <w:bCs/>
          <w:lang w:val="en-US"/>
        </w:rPr>
        <w:t>substantial</w:t>
      </w:r>
      <w:r w:rsidR="00995215" w:rsidRPr="00665F4A">
        <w:rPr>
          <w:rFonts w:asciiTheme="majorBidi" w:hAnsiTheme="majorBidi" w:cstheme="majorBidi"/>
          <w:b/>
          <w:bCs/>
          <w:lang w:val="en-US"/>
        </w:rPr>
        <w:t xml:space="preserve"> effect in countering re-arrest for felony acts – for every 100 phone calls, the felony re</w:t>
      </w:r>
      <w:r w:rsidR="00665F4A" w:rsidRPr="00665F4A">
        <w:rPr>
          <w:rFonts w:asciiTheme="majorBidi" w:hAnsiTheme="majorBidi" w:cstheme="majorBidi"/>
          <w:b/>
          <w:bCs/>
          <w:lang w:val="en-US"/>
        </w:rPr>
        <w:t>-</w:t>
      </w:r>
      <w:r w:rsidR="00995215" w:rsidRPr="00665F4A">
        <w:rPr>
          <w:rFonts w:asciiTheme="majorBidi" w:hAnsiTheme="majorBidi" w:cstheme="majorBidi"/>
          <w:b/>
          <w:bCs/>
          <w:lang w:val="en-US"/>
        </w:rPr>
        <w:t xml:space="preserve">arrest </w:t>
      </w:r>
      <w:r w:rsidR="007D1413">
        <w:rPr>
          <w:rFonts w:asciiTheme="majorBidi" w:hAnsiTheme="majorBidi" w:cstheme="majorBidi"/>
          <w:b/>
          <w:bCs/>
          <w:lang w:val="en-US"/>
        </w:rPr>
        <w:t xml:space="preserve">was </w:t>
      </w:r>
      <w:r w:rsidR="00995215" w:rsidRPr="00665F4A">
        <w:rPr>
          <w:rFonts w:asciiTheme="majorBidi" w:hAnsiTheme="majorBidi" w:cstheme="majorBidi"/>
          <w:b/>
          <w:bCs/>
          <w:lang w:val="en-US"/>
        </w:rPr>
        <w:t>reduced by 36%.</w:t>
      </w:r>
      <w:r w:rsidR="00995215" w:rsidRPr="00665F4A">
        <w:rPr>
          <w:rStyle w:val="FootnoteReference"/>
          <w:rFonts w:asciiTheme="majorBidi" w:hAnsiTheme="majorBidi" w:cstheme="majorBidi"/>
          <w:lang w:val="en-US"/>
        </w:rPr>
        <w:footnoteReference w:id="10"/>
      </w:r>
      <w:r w:rsidR="00995215" w:rsidRPr="00665F4A">
        <w:rPr>
          <w:rFonts w:asciiTheme="majorBidi" w:hAnsiTheme="majorBidi" w:cstheme="majorBidi"/>
          <w:lang w:val="en-US"/>
        </w:rPr>
        <w:t xml:space="preserve"> </w:t>
      </w:r>
    </w:p>
    <w:p w14:paraId="1B78B8C8" w14:textId="77777777" w:rsidR="0096410D" w:rsidRPr="00665F4A" w:rsidRDefault="0096410D" w:rsidP="0096410D">
      <w:pPr>
        <w:rPr>
          <w:rFonts w:asciiTheme="majorBidi" w:hAnsiTheme="majorBidi" w:cstheme="majorBidi"/>
          <w:lang w:val="en-US"/>
        </w:rPr>
      </w:pPr>
    </w:p>
    <w:p w14:paraId="4B755E99" w14:textId="7102390C" w:rsidR="0096410D" w:rsidRPr="00B569A6" w:rsidRDefault="0096410D" w:rsidP="00B569A6">
      <w:pPr>
        <w:rPr>
          <w:rFonts w:asciiTheme="majorBidi" w:hAnsiTheme="majorBidi" w:cstheme="majorBidi"/>
          <w:b/>
          <w:bCs/>
          <w:lang w:val="en-US"/>
        </w:rPr>
      </w:pPr>
      <w:r w:rsidRPr="00665F4A">
        <w:rPr>
          <w:rFonts w:asciiTheme="majorBidi" w:hAnsiTheme="majorBidi" w:cstheme="majorBidi"/>
          <w:b/>
          <w:bCs/>
          <w:lang w:val="en-US"/>
        </w:rPr>
        <w:t>Conclusion</w:t>
      </w:r>
    </w:p>
    <w:p w14:paraId="4D898D00" w14:textId="77777777" w:rsidR="0096410D" w:rsidRPr="00C27A43" w:rsidRDefault="0096410D" w:rsidP="0096410D">
      <w:pPr>
        <w:rPr>
          <w:rFonts w:cstheme="minorHAnsi"/>
          <w:lang w:val="en-US"/>
        </w:rPr>
      </w:pPr>
    </w:p>
    <w:p w14:paraId="78D30C04" w14:textId="157E968B" w:rsidR="0096410D" w:rsidRPr="003C3E5F" w:rsidRDefault="00B569A6" w:rsidP="003C3E5F">
      <w:pPr>
        <w:rPr>
          <w:rFonts w:asciiTheme="majorBidi" w:eastAsia="Times New Roman" w:hAnsiTheme="majorBidi" w:cstheme="majorBidi"/>
          <w:color w:val="000000"/>
        </w:rPr>
      </w:pPr>
      <w:r w:rsidRPr="00B569A6">
        <w:rPr>
          <w:rFonts w:asciiTheme="majorBidi" w:eastAsia="Times New Roman" w:hAnsiTheme="majorBidi" w:cstheme="majorBidi"/>
          <w:color w:val="000000"/>
        </w:rPr>
        <w:t>Cognitive behavioural therapy supplemented with phone calls should be adopted</w:t>
      </w:r>
      <w:r w:rsidR="00425813">
        <w:rPr>
          <w:rFonts w:asciiTheme="majorBidi" w:eastAsia="Times New Roman" w:hAnsiTheme="majorBidi" w:cstheme="majorBidi"/>
          <w:color w:val="000000"/>
        </w:rPr>
        <w:t xml:space="preserve"> widely</w:t>
      </w:r>
      <w:r w:rsidRPr="00B569A6">
        <w:rPr>
          <w:rFonts w:asciiTheme="majorBidi" w:eastAsia="Times New Roman" w:hAnsiTheme="majorBidi" w:cstheme="majorBidi"/>
          <w:color w:val="000000"/>
        </w:rPr>
        <w:t xml:space="preserve"> in California </w:t>
      </w:r>
      <w:r w:rsidRPr="00B569A6">
        <w:rPr>
          <w:rFonts w:asciiTheme="majorBidi" w:hAnsiTheme="majorBidi" w:cstheme="majorBidi"/>
        </w:rPr>
        <w:t>to reduce recidivism</w:t>
      </w:r>
      <w:r w:rsidRPr="00B569A6">
        <w:rPr>
          <w:rFonts w:asciiTheme="majorBidi" w:eastAsia="Times New Roman" w:hAnsiTheme="majorBidi" w:cstheme="majorBidi"/>
          <w:color w:val="000000"/>
        </w:rPr>
        <w:t xml:space="preserve"> </w:t>
      </w:r>
      <w:r>
        <w:rPr>
          <w:rFonts w:asciiTheme="majorBidi" w:eastAsia="Times New Roman" w:hAnsiTheme="majorBidi" w:cstheme="majorBidi"/>
          <w:color w:val="000000"/>
        </w:rPr>
        <w:t xml:space="preserve">and </w:t>
      </w:r>
      <w:r w:rsidR="00BC6941">
        <w:rPr>
          <w:rFonts w:asciiTheme="majorBidi" w:eastAsia="Times New Roman" w:hAnsiTheme="majorBidi" w:cstheme="majorBidi"/>
          <w:color w:val="000000"/>
        </w:rPr>
        <w:t xml:space="preserve">to better </w:t>
      </w:r>
      <w:r w:rsidRPr="00B569A6">
        <w:rPr>
          <w:rFonts w:asciiTheme="majorBidi" w:eastAsia="Times New Roman" w:hAnsiTheme="majorBidi" w:cstheme="majorBidi"/>
          <w:color w:val="000000"/>
        </w:rPr>
        <w:t xml:space="preserve">meet the guidelines posed by </w:t>
      </w:r>
      <w:r w:rsidRPr="00B569A6">
        <w:rPr>
          <w:rFonts w:asciiTheme="majorBidi" w:hAnsiTheme="majorBidi" w:cstheme="majorBidi"/>
          <w:i/>
          <w:iCs/>
        </w:rPr>
        <w:t>Farrell</w:t>
      </w:r>
      <w:r>
        <w:rPr>
          <w:rFonts w:asciiTheme="majorBidi" w:hAnsiTheme="majorBidi" w:cstheme="majorBidi"/>
          <w:i/>
          <w:iCs/>
        </w:rPr>
        <w:t>.</w:t>
      </w:r>
    </w:p>
    <w:p w14:paraId="5FEF60E4" w14:textId="6563EC27" w:rsidR="00DF06E7" w:rsidRDefault="00DF06E7" w:rsidP="007E292F">
      <w:pPr>
        <w:spacing w:line="480" w:lineRule="auto"/>
        <w:jc w:val="center"/>
        <w:rPr>
          <w:rFonts w:asciiTheme="majorBidi" w:eastAsia="Times New Roman" w:hAnsiTheme="majorBidi" w:cstheme="majorBidi"/>
          <w:color w:val="000000"/>
        </w:rPr>
      </w:pPr>
    </w:p>
    <w:p w14:paraId="456776D9" w14:textId="2D474524" w:rsidR="00E706A4" w:rsidRDefault="00E706A4" w:rsidP="007E292F">
      <w:pPr>
        <w:spacing w:line="480" w:lineRule="auto"/>
        <w:jc w:val="center"/>
        <w:rPr>
          <w:rFonts w:asciiTheme="majorBidi" w:eastAsia="Times New Roman" w:hAnsiTheme="majorBidi" w:cstheme="majorBidi"/>
          <w:color w:val="000000"/>
        </w:rPr>
      </w:pPr>
    </w:p>
    <w:p w14:paraId="2234358B" w14:textId="47F6E991" w:rsidR="00E706A4" w:rsidRDefault="00E706A4" w:rsidP="007E292F">
      <w:pPr>
        <w:spacing w:line="480" w:lineRule="auto"/>
        <w:jc w:val="center"/>
        <w:rPr>
          <w:rFonts w:asciiTheme="majorBidi" w:eastAsia="Times New Roman" w:hAnsiTheme="majorBidi" w:cstheme="majorBidi"/>
          <w:color w:val="000000"/>
        </w:rPr>
      </w:pPr>
    </w:p>
    <w:p w14:paraId="666B31DF" w14:textId="39651BD1" w:rsidR="00E706A4" w:rsidRDefault="00E706A4" w:rsidP="007E292F">
      <w:pPr>
        <w:spacing w:line="480" w:lineRule="auto"/>
        <w:jc w:val="center"/>
        <w:rPr>
          <w:rFonts w:asciiTheme="majorBidi" w:eastAsia="Times New Roman" w:hAnsiTheme="majorBidi" w:cstheme="majorBidi"/>
          <w:color w:val="000000"/>
        </w:rPr>
      </w:pPr>
    </w:p>
    <w:p w14:paraId="76E8F8AA" w14:textId="6298867F" w:rsidR="00E706A4" w:rsidRDefault="00E706A4" w:rsidP="007E292F">
      <w:pPr>
        <w:spacing w:line="480" w:lineRule="auto"/>
        <w:jc w:val="center"/>
        <w:rPr>
          <w:rFonts w:asciiTheme="majorBidi" w:eastAsia="Times New Roman" w:hAnsiTheme="majorBidi" w:cstheme="majorBidi"/>
          <w:color w:val="000000"/>
        </w:rPr>
      </w:pPr>
    </w:p>
    <w:p w14:paraId="106C8FFB" w14:textId="2FDC3B7E" w:rsidR="00E706A4" w:rsidRDefault="00E706A4" w:rsidP="007E292F">
      <w:pPr>
        <w:spacing w:line="480" w:lineRule="auto"/>
        <w:jc w:val="center"/>
        <w:rPr>
          <w:rFonts w:asciiTheme="majorBidi" w:eastAsia="Times New Roman" w:hAnsiTheme="majorBidi" w:cstheme="majorBidi"/>
          <w:color w:val="000000"/>
        </w:rPr>
      </w:pPr>
    </w:p>
    <w:p w14:paraId="2EE32A2A" w14:textId="5BD55B7B" w:rsidR="00E706A4" w:rsidRDefault="00E706A4" w:rsidP="007E292F">
      <w:pPr>
        <w:spacing w:line="480" w:lineRule="auto"/>
        <w:jc w:val="center"/>
        <w:rPr>
          <w:rFonts w:asciiTheme="majorBidi" w:eastAsia="Times New Roman" w:hAnsiTheme="majorBidi" w:cstheme="majorBidi"/>
          <w:color w:val="000000"/>
        </w:rPr>
      </w:pPr>
    </w:p>
    <w:p w14:paraId="23236FCD" w14:textId="2184D774" w:rsidR="00E706A4" w:rsidRDefault="00E706A4" w:rsidP="007E292F">
      <w:pPr>
        <w:spacing w:line="480" w:lineRule="auto"/>
        <w:jc w:val="center"/>
        <w:rPr>
          <w:rFonts w:asciiTheme="majorBidi" w:eastAsia="Times New Roman" w:hAnsiTheme="majorBidi" w:cstheme="majorBidi"/>
          <w:color w:val="000000"/>
        </w:rPr>
      </w:pPr>
    </w:p>
    <w:p w14:paraId="004A37AA" w14:textId="3A4622EA" w:rsidR="00E706A4" w:rsidRDefault="00E706A4" w:rsidP="007E292F">
      <w:pPr>
        <w:spacing w:line="480" w:lineRule="auto"/>
        <w:jc w:val="center"/>
        <w:rPr>
          <w:rFonts w:asciiTheme="majorBidi" w:eastAsia="Times New Roman" w:hAnsiTheme="majorBidi" w:cstheme="majorBidi"/>
          <w:color w:val="000000"/>
        </w:rPr>
      </w:pPr>
    </w:p>
    <w:p w14:paraId="2FB640A7" w14:textId="77777777" w:rsidR="00E706A4" w:rsidRDefault="00E706A4" w:rsidP="007E292F">
      <w:pPr>
        <w:spacing w:line="480" w:lineRule="auto"/>
        <w:jc w:val="center"/>
        <w:rPr>
          <w:rFonts w:asciiTheme="majorBidi" w:eastAsia="Times New Roman" w:hAnsiTheme="majorBidi" w:cstheme="majorBidi"/>
          <w:color w:val="000000"/>
        </w:rPr>
      </w:pPr>
    </w:p>
    <w:p w14:paraId="139015F1" w14:textId="6899B0FF" w:rsidR="00DF06E7" w:rsidRDefault="00DF06E7" w:rsidP="007E292F">
      <w:pPr>
        <w:spacing w:line="48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*** </w:t>
      </w:r>
    </w:p>
    <w:p w14:paraId="790EC2A5" w14:textId="007692EE" w:rsidR="007E292F" w:rsidRDefault="007E292F" w:rsidP="007E292F">
      <w:pPr>
        <w:spacing w:line="480" w:lineRule="auto"/>
        <w:jc w:val="center"/>
      </w:pPr>
      <w:r>
        <w:rPr>
          <w:rFonts w:ascii="Times New Roman" w:eastAsia="Times New Roman" w:hAnsi="Times New Roman" w:cs="Times New Roman"/>
          <w:color w:val="000000"/>
        </w:rPr>
        <w:t>Bibliography</w:t>
      </w:r>
    </w:p>
    <w:p w14:paraId="464E2C5A" w14:textId="23C0E676" w:rsidR="007E292F" w:rsidRDefault="007E292F" w:rsidP="007E292F">
      <w:pPr>
        <w:pStyle w:val="custom-paragraph"/>
        <w:ind w:left="720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Bahr, Stephen J., David J. Cherrington, and Lance D. Erickson. </w:t>
      </w:r>
      <w:r w:rsidR="00DF06E7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 Evaluation of the Impact of Goal Setting and Cell Phone Calls on Juvenile Rearrests.</w:t>
      </w:r>
      <w:r w:rsidR="00DF06E7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International Journal of Offender Therapy and Comparative Criminology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60, no. 16 (July 28, 2016): 1816-35. https://doi.org/10.1177/0306624X15588549.</w:t>
      </w:r>
    </w:p>
    <w:p w14:paraId="40084EA3" w14:textId="77777777" w:rsidR="007E292F" w:rsidRDefault="007E292F" w:rsidP="007E292F">
      <w:pPr>
        <w:ind w:left="720" w:firstLine="15"/>
      </w:pPr>
    </w:p>
    <w:p w14:paraId="19BDAA2B" w14:textId="77777777" w:rsidR="007E292F" w:rsidRDefault="007E292F" w:rsidP="007E292F">
      <w:pPr>
        <w:pStyle w:val="custom-paragraph"/>
        <w:ind w:left="720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Burraston, Bert O., Stephen J. Bahr, and David J. Cherrington. "Reducing Juvenile Delinquency with Automated Cell Phone Calls."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International Journal of Offender Therapy and Comparative Criminology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58, no. 5 (March 12, 2013): 522-36. https://doi.org/10.1177/0306624X13480947.</w:t>
      </w:r>
    </w:p>
    <w:p w14:paraId="1C35FD21" w14:textId="77777777" w:rsidR="007E292F" w:rsidRDefault="007E292F" w:rsidP="007E292F">
      <w:pPr>
        <w:ind w:left="720" w:firstLine="15"/>
      </w:pPr>
    </w:p>
    <w:p w14:paraId="5E3C95BB" w14:textId="77777777" w:rsidR="007E292F" w:rsidRDefault="007E292F" w:rsidP="007E292F">
      <w:pPr>
        <w:pStyle w:val="custom-paragraph"/>
        <w:ind w:left="720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Fox, Sanford J. "Juvenile Justice Reform: An Historical Perspective."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Stanford Law Review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22, no. 6 (1970): 1187-239. https://doi.org/10.2307/1227960.</w:t>
      </w:r>
    </w:p>
    <w:p w14:paraId="5549105B" w14:textId="77777777" w:rsidR="007E292F" w:rsidRDefault="007E292F" w:rsidP="007E292F">
      <w:pPr>
        <w:ind w:left="720" w:firstLine="15"/>
      </w:pPr>
    </w:p>
    <w:p w14:paraId="6F0562B3" w14:textId="77777777" w:rsidR="007E292F" w:rsidRDefault="007E292F" w:rsidP="007E292F">
      <w:pPr>
        <w:pStyle w:val="custom-paragraph"/>
        <w:ind w:left="720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Krisberg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Barry. "Reforming the California Division of Juvenile Justice."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Federal Sentencing Reporter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25, no. 4 (2013): 281-85. https://doi.org/10.1525/fsr.2013.25.4.281.</w:t>
      </w:r>
    </w:p>
    <w:p w14:paraId="3CA85F98" w14:textId="77777777" w:rsidR="007E292F" w:rsidRDefault="007E292F" w:rsidP="007E292F">
      <w:pPr>
        <w:ind w:left="720" w:firstLine="15"/>
      </w:pPr>
    </w:p>
    <w:p w14:paraId="226819B8" w14:textId="77777777" w:rsidR="007E292F" w:rsidRDefault="007E292F" w:rsidP="007E292F">
      <w:pPr>
        <w:pStyle w:val="custom-paragraph"/>
        <w:ind w:left="720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Margeret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Farrell v. Mathew Cate, 27 S.W. (2004). Accessed August 14, 2022. https://prisonlaw.com/wp-content/uploads/2015/09/OSM27.pdf.</w:t>
      </w:r>
    </w:p>
    <w:p w14:paraId="0EAF76F9" w14:textId="77777777" w:rsidR="007E292F" w:rsidRDefault="007E292F" w:rsidP="007E292F">
      <w:pPr>
        <w:ind w:left="720" w:firstLine="15"/>
      </w:pPr>
    </w:p>
    <w:p w14:paraId="74CCBDA7" w14:textId="6D94AC7F" w:rsidR="00505E4D" w:rsidRDefault="00505E4D" w:rsidP="0096410D">
      <w:pPr>
        <w:spacing w:line="480" w:lineRule="auto"/>
        <w:rPr>
          <w:rFonts w:eastAsia="Times New Roman" w:cstheme="minorHAnsi"/>
          <w:color w:val="000000"/>
        </w:rPr>
      </w:pPr>
    </w:p>
    <w:p w14:paraId="7BAA75A6" w14:textId="7DE85D77" w:rsidR="00505E4D" w:rsidRPr="00DF06E7" w:rsidRDefault="00DF06E7" w:rsidP="00DF06E7">
      <w:pPr>
        <w:spacing w:line="480" w:lineRule="auto"/>
        <w:jc w:val="center"/>
        <w:rPr>
          <w:rFonts w:asciiTheme="majorBidi" w:eastAsia="Times New Roman" w:hAnsiTheme="majorBidi" w:cstheme="majorBidi"/>
          <w:color w:val="000000"/>
        </w:rPr>
      </w:pPr>
      <w:r>
        <w:rPr>
          <w:rFonts w:asciiTheme="majorBidi" w:eastAsia="Times New Roman" w:hAnsiTheme="majorBidi" w:cstheme="majorBidi"/>
          <w:color w:val="000000"/>
        </w:rPr>
        <w:t>***</w:t>
      </w:r>
    </w:p>
    <w:p w14:paraId="546D7D8F" w14:textId="0776AB52" w:rsidR="00505E4D" w:rsidRDefault="00505E4D" w:rsidP="0096410D">
      <w:pPr>
        <w:spacing w:line="480" w:lineRule="auto"/>
        <w:rPr>
          <w:rFonts w:eastAsia="Times New Roman" w:cstheme="minorHAnsi"/>
          <w:color w:val="000000"/>
        </w:rPr>
      </w:pPr>
    </w:p>
    <w:p w14:paraId="6E97307E" w14:textId="392C4B75" w:rsidR="00505E4D" w:rsidRDefault="00505E4D" w:rsidP="0096410D">
      <w:pPr>
        <w:spacing w:line="480" w:lineRule="auto"/>
        <w:rPr>
          <w:rFonts w:eastAsia="Times New Roman" w:cstheme="minorHAnsi"/>
          <w:color w:val="000000"/>
        </w:rPr>
      </w:pPr>
    </w:p>
    <w:p w14:paraId="7357A0BE" w14:textId="03BE7FAE" w:rsidR="00505E4D" w:rsidRDefault="00505E4D" w:rsidP="0096410D">
      <w:pPr>
        <w:spacing w:line="480" w:lineRule="auto"/>
        <w:rPr>
          <w:rFonts w:eastAsia="Times New Roman" w:cstheme="minorHAnsi"/>
          <w:color w:val="000000"/>
        </w:rPr>
      </w:pPr>
    </w:p>
    <w:p w14:paraId="3E34E3FE" w14:textId="0E1B6071" w:rsidR="00505E4D" w:rsidRDefault="00505E4D" w:rsidP="0096410D">
      <w:pPr>
        <w:spacing w:line="480" w:lineRule="auto"/>
        <w:rPr>
          <w:rFonts w:eastAsia="Times New Roman" w:cstheme="minorHAnsi"/>
          <w:color w:val="000000"/>
        </w:rPr>
      </w:pPr>
    </w:p>
    <w:p w14:paraId="4B4F885F" w14:textId="452F7CA1" w:rsidR="00505E4D" w:rsidRDefault="00505E4D" w:rsidP="0096410D">
      <w:pPr>
        <w:spacing w:line="480" w:lineRule="auto"/>
        <w:rPr>
          <w:rFonts w:eastAsia="Times New Roman" w:cstheme="minorHAnsi"/>
          <w:color w:val="000000"/>
        </w:rPr>
      </w:pPr>
    </w:p>
    <w:p w14:paraId="49CCF757" w14:textId="5739B00D" w:rsidR="00505E4D" w:rsidRDefault="00505E4D" w:rsidP="0096410D">
      <w:pPr>
        <w:spacing w:line="480" w:lineRule="auto"/>
        <w:rPr>
          <w:rFonts w:eastAsia="Times New Roman" w:cstheme="minorHAnsi"/>
          <w:color w:val="000000"/>
        </w:rPr>
      </w:pPr>
    </w:p>
    <w:p w14:paraId="5B23CEB1" w14:textId="07BD52B1" w:rsidR="00505E4D" w:rsidRDefault="00505E4D" w:rsidP="0096410D">
      <w:pPr>
        <w:spacing w:line="480" w:lineRule="auto"/>
        <w:rPr>
          <w:rFonts w:eastAsia="Times New Roman" w:cstheme="minorHAnsi"/>
          <w:color w:val="000000"/>
        </w:rPr>
      </w:pPr>
    </w:p>
    <w:p w14:paraId="051A037B" w14:textId="52043B7B" w:rsidR="00505E4D" w:rsidRDefault="00505E4D" w:rsidP="0096410D">
      <w:pPr>
        <w:spacing w:line="480" w:lineRule="auto"/>
        <w:rPr>
          <w:rFonts w:eastAsia="Times New Roman" w:cstheme="minorHAnsi"/>
          <w:color w:val="000000"/>
        </w:rPr>
      </w:pPr>
    </w:p>
    <w:p w14:paraId="076AC790" w14:textId="267685AD" w:rsidR="00505E4D" w:rsidRDefault="00505E4D" w:rsidP="0096410D">
      <w:pPr>
        <w:spacing w:line="480" w:lineRule="auto"/>
        <w:rPr>
          <w:rFonts w:eastAsia="Times New Roman" w:cstheme="minorHAnsi"/>
          <w:color w:val="000000"/>
        </w:rPr>
      </w:pPr>
    </w:p>
    <w:p w14:paraId="2BF317B0" w14:textId="27E08C9C" w:rsidR="00505E4D" w:rsidRDefault="00505E4D" w:rsidP="0096410D">
      <w:pPr>
        <w:spacing w:line="480" w:lineRule="auto"/>
        <w:rPr>
          <w:rFonts w:eastAsia="Times New Roman" w:cstheme="minorHAnsi"/>
          <w:color w:val="000000"/>
        </w:rPr>
      </w:pPr>
    </w:p>
    <w:p w14:paraId="6C7F160F" w14:textId="627E3209" w:rsidR="00505E4D" w:rsidRDefault="00505E4D" w:rsidP="0096410D">
      <w:pPr>
        <w:spacing w:line="480" w:lineRule="auto"/>
        <w:rPr>
          <w:rFonts w:eastAsia="Times New Roman" w:cstheme="minorHAnsi"/>
          <w:color w:val="000000"/>
        </w:rPr>
      </w:pPr>
    </w:p>
    <w:p w14:paraId="1E527563" w14:textId="77777777" w:rsidR="00505E4D" w:rsidRPr="00D61472" w:rsidRDefault="00505E4D" w:rsidP="0096410D">
      <w:pPr>
        <w:spacing w:line="480" w:lineRule="auto"/>
        <w:rPr>
          <w:rFonts w:asciiTheme="majorBidi" w:eastAsia="Times New Roman" w:hAnsiTheme="majorBidi" w:cstheme="majorBidi"/>
          <w:color w:val="000000"/>
        </w:rPr>
      </w:pPr>
    </w:p>
    <w:p w14:paraId="5380E41F" w14:textId="77777777" w:rsidR="0096410D" w:rsidRPr="00D61472" w:rsidRDefault="0096410D" w:rsidP="0096410D">
      <w:pPr>
        <w:spacing w:line="480" w:lineRule="auto"/>
        <w:jc w:val="center"/>
        <w:rPr>
          <w:rFonts w:asciiTheme="majorBidi" w:eastAsia="Times New Roman" w:hAnsiTheme="majorBidi" w:cstheme="majorBidi"/>
          <w:color w:val="000000"/>
        </w:rPr>
      </w:pPr>
    </w:p>
    <w:p w14:paraId="12BC5E0B" w14:textId="77777777" w:rsidR="0096410D" w:rsidRPr="00D61472" w:rsidRDefault="0096410D" w:rsidP="0096410D">
      <w:pPr>
        <w:spacing w:line="480" w:lineRule="auto"/>
        <w:jc w:val="center"/>
        <w:rPr>
          <w:rFonts w:asciiTheme="majorBidi" w:hAnsiTheme="majorBidi" w:cstheme="majorBidi"/>
        </w:rPr>
      </w:pPr>
      <w:r w:rsidRPr="00D61472">
        <w:rPr>
          <w:rFonts w:asciiTheme="majorBidi" w:eastAsia="Times New Roman" w:hAnsiTheme="majorBidi" w:cstheme="majorBidi"/>
          <w:color w:val="000000"/>
        </w:rPr>
        <w:t>Bibliography</w:t>
      </w:r>
    </w:p>
    <w:p w14:paraId="6DF669BD" w14:textId="77777777" w:rsidR="0096410D" w:rsidRPr="00C27A43" w:rsidRDefault="0096410D" w:rsidP="0096410D">
      <w:pPr>
        <w:ind w:left="720" w:firstLine="15"/>
        <w:rPr>
          <w:rFonts w:cstheme="minorHAnsi"/>
        </w:rPr>
      </w:pPr>
    </w:p>
    <w:p w14:paraId="7749FAD5" w14:textId="7F67AFEA" w:rsidR="0096410D" w:rsidRPr="00C27A43" w:rsidRDefault="0096410D" w:rsidP="0096410D">
      <w:pPr>
        <w:rPr>
          <w:rFonts w:cstheme="minorHAnsi"/>
        </w:rPr>
      </w:pPr>
    </w:p>
    <w:sectPr w:rsidR="0096410D" w:rsidRPr="00C27A43" w:rsidSect="00557D9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61928" w14:textId="77777777" w:rsidR="00C11B65" w:rsidRDefault="00C11B65" w:rsidP="0096410D">
      <w:r>
        <w:separator/>
      </w:r>
    </w:p>
  </w:endnote>
  <w:endnote w:type="continuationSeparator" w:id="0">
    <w:p w14:paraId="7C54A69E" w14:textId="77777777" w:rsidR="00C11B65" w:rsidRDefault="00C11B65" w:rsidP="00964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de">
    <w:altName w:val="Code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09D85D" w14:textId="77777777" w:rsidR="00C11B65" w:rsidRDefault="00C11B65" w:rsidP="0096410D">
      <w:r>
        <w:separator/>
      </w:r>
    </w:p>
  </w:footnote>
  <w:footnote w:type="continuationSeparator" w:id="0">
    <w:p w14:paraId="0FFE4EDA" w14:textId="77777777" w:rsidR="00C11B65" w:rsidRDefault="00C11B65" w:rsidP="0096410D">
      <w:r>
        <w:continuationSeparator/>
      </w:r>
    </w:p>
  </w:footnote>
  <w:footnote w:id="1">
    <w:p w14:paraId="3CF8674B" w14:textId="1110A4A2" w:rsidR="00C27A43" w:rsidRPr="00665F4A" w:rsidRDefault="00C27A43" w:rsidP="007E19AE">
      <w:pPr>
        <w:pStyle w:val="FootnoteText"/>
        <w:rPr>
          <w:rFonts w:asciiTheme="majorBidi" w:hAnsiTheme="majorBidi" w:cstheme="majorBidi"/>
        </w:rPr>
      </w:pPr>
      <w:r w:rsidRPr="00665F4A">
        <w:rPr>
          <w:rStyle w:val="FootnoteReference"/>
          <w:rFonts w:asciiTheme="majorBidi" w:hAnsiTheme="majorBidi" w:cstheme="majorBidi"/>
        </w:rPr>
        <w:footnoteRef/>
      </w:r>
      <w:r w:rsidRPr="00665F4A">
        <w:rPr>
          <w:rFonts w:asciiTheme="majorBidi" w:hAnsiTheme="majorBidi" w:cstheme="majorBidi"/>
        </w:rPr>
        <w:t xml:space="preserve"> Sanford J. Fox, "Juvenile Justice Reform: An Historical Perspective," </w:t>
      </w:r>
      <w:r w:rsidRPr="00665F4A">
        <w:rPr>
          <w:rFonts w:asciiTheme="majorBidi" w:hAnsiTheme="majorBidi" w:cstheme="majorBidi"/>
          <w:i/>
          <w:iCs/>
        </w:rPr>
        <w:t>Stanford Law Review</w:t>
      </w:r>
      <w:r w:rsidRPr="00665F4A">
        <w:rPr>
          <w:rFonts w:asciiTheme="majorBidi" w:hAnsiTheme="majorBidi" w:cstheme="majorBidi"/>
        </w:rPr>
        <w:t> 22, no. 6 (1970): 1192-1196, https://doi.org/10.2307/1227960. </w:t>
      </w:r>
    </w:p>
  </w:footnote>
  <w:footnote w:id="2">
    <w:p w14:paraId="3F3BB269" w14:textId="0293EA01" w:rsidR="007E19AE" w:rsidRPr="00665F4A" w:rsidRDefault="007E19AE" w:rsidP="00480138">
      <w:pPr>
        <w:pStyle w:val="FootnoteText"/>
        <w:rPr>
          <w:rFonts w:asciiTheme="majorBidi" w:hAnsiTheme="majorBidi" w:cstheme="majorBidi"/>
        </w:rPr>
      </w:pPr>
      <w:r w:rsidRPr="00665F4A">
        <w:rPr>
          <w:rStyle w:val="FootnoteReference"/>
          <w:rFonts w:asciiTheme="majorBidi" w:hAnsiTheme="majorBidi" w:cstheme="majorBidi"/>
        </w:rPr>
        <w:footnoteRef/>
      </w:r>
      <w:r w:rsidRPr="00665F4A">
        <w:rPr>
          <w:rFonts w:asciiTheme="majorBidi" w:hAnsiTheme="majorBidi" w:cstheme="majorBidi"/>
        </w:rPr>
        <w:t xml:space="preserve"> Fox, "Juvenile Justice," 1198.</w:t>
      </w:r>
    </w:p>
  </w:footnote>
  <w:footnote w:id="3">
    <w:p w14:paraId="378ED511" w14:textId="1F58B5BD" w:rsidR="00480138" w:rsidRPr="00665F4A" w:rsidRDefault="00480138" w:rsidP="00AA6179">
      <w:pPr>
        <w:pStyle w:val="FootnoteText"/>
        <w:rPr>
          <w:rFonts w:asciiTheme="majorBidi" w:hAnsiTheme="majorBidi" w:cstheme="majorBidi"/>
        </w:rPr>
      </w:pPr>
      <w:r w:rsidRPr="00665F4A">
        <w:rPr>
          <w:rStyle w:val="FootnoteReference"/>
          <w:rFonts w:asciiTheme="majorBidi" w:hAnsiTheme="majorBidi" w:cstheme="majorBidi"/>
        </w:rPr>
        <w:footnoteRef/>
      </w:r>
      <w:r w:rsidRPr="00665F4A">
        <w:rPr>
          <w:rFonts w:asciiTheme="majorBidi" w:hAnsiTheme="majorBidi" w:cstheme="majorBidi"/>
        </w:rPr>
        <w:t xml:space="preserve"> </w:t>
      </w:r>
      <w:r w:rsidR="00AA6179" w:rsidRPr="00665F4A">
        <w:rPr>
          <w:rFonts w:asciiTheme="majorBidi" w:hAnsiTheme="majorBidi" w:cstheme="majorBidi"/>
        </w:rPr>
        <w:t>Fox, "Juvenile Justice," 1208-1211. Quote on 1211.</w:t>
      </w:r>
    </w:p>
  </w:footnote>
  <w:footnote w:id="4">
    <w:p w14:paraId="7D920743" w14:textId="31F14230" w:rsidR="00AA6179" w:rsidRPr="00665F4A" w:rsidRDefault="00AA6179" w:rsidP="00665F4A">
      <w:pPr>
        <w:pStyle w:val="FootnoteText"/>
        <w:rPr>
          <w:rFonts w:asciiTheme="majorBidi" w:hAnsiTheme="majorBidi" w:cstheme="majorBidi"/>
        </w:rPr>
      </w:pPr>
      <w:r w:rsidRPr="00665F4A">
        <w:rPr>
          <w:rStyle w:val="FootnoteReference"/>
          <w:rFonts w:asciiTheme="majorBidi" w:hAnsiTheme="majorBidi" w:cstheme="majorBidi"/>
        </w:rPr>
        <w:footnoteRef/>
      </w:r>
      <w:r w:rsidRPr="00665F4A">
        <w:rPr>
          <w:rFonts w:asciiTheme="majorBidi" w:hAnsiTheme="majorBidi" w:cstheme="majorBidi"/>
        </w:rPr>
        <w:t xml:space="preserve"> Barry </w:t>
      </w:r>
      <w:proofErr w:type="spellStart"/>
      <w:r w:rsidRPr="00665F4A">
        <w:rPr>
          <w:rFonts w:asciiTheme="majorBidi" w:hAnsiTheme="majorBidi" w:cstheme="majorBidi"/>
        </w:rPr>
        <w:t>Krisberg</w:t>
      </w:r>
      <w:proofErr w:type="spellEnd"/>
      <w:r w:rsidRPr="00665F4A">
        <w:rPr>
          <w:rFonts w:asciiTheme="majorBidi" w:hAnsiTheme="majorBidi" w:cstheme="majorBidi"/>
        </w:rPr>
        <w:t>, "Reforming the California Division of Juvenile Justice," </w:t>
      </w:r>
      <w:r w:rsidRPr="00665F4A">
        <w:rPr>
          <w:rFonts w:asciiTheme="majorBidi" w:hAnsiTheme="majorBidi" w:cstheme="majorBidi"/>
          <w:i/>
          <w:iCs/>
        </w:rPr>
        <w:t>Federal Sentencing Reporter</w:t>
      </w:r>
      <w:r w:rsidRPr="00665F4A">
        <w:rPr>
          <w:rFonts w:asciiTheme="majorBidi" w:hAnsiTheme="majorBidi" w:cstheme="majorBidi"/>
        </w:rPr>
        <w:t> 25, no. 4 (2013): </w:t>
      </w:r>
      <w:r w:rsidRPr="00665F4A">
        <w:rPr>
          <w:rFonts w:asciiTheme="majorBidi" w:hAnsiTheme="majorBidi" w:cstheme="majorBidi"/>
          <w:lang w:val="en-US"/>
        </w:rPr>
        <w:t>281</w:t>
      </w:r>
      <w:r w:rsidRPr="00665F4A">
        <w:rPr>
          <w:rFonts w:asciiTheme="majorBidi" w:hAnsiTheme="majorBidi" w:cstheme="majorBidi"/>
        </w:rPr>
        <w:t>, https://doi.org/10.1525/fsr.2013.25.4.281. </w:t>
      </w:r>
    </w:p>
  </w:footnote>
  <w:footnote w:id="5">
    <w:p w14:paraId="73726529" w14:textId="5AEF15A6" w:rsidR="003A1388" w:rsidRPr="003A1388" w:rsidRDefault="003A1388" w:rsidP="003A1388">
      <w:pPr>
        <w:pStyle w:val="FootnoteText"/>
      </w:pPr>
      <w:r w:rsidRPr="00665F4A">
        <w:rPr>
          <w:rStyle w:val="FootnoteReference"/>
          <w:rFonts w:asciiTheme="majorBidi" w:hAnsiTheme="majorBidi" w:cstheme="majorBidi"/>
        </w:rPr>
        <w:footnoteRef/>
      </w:r>
      <w:r w:rsidRPr="00665F4A">
        <w:rPr>
          <w:rFonts w:asciiTheme="majorBidi" w:hAnsiTheme="majorBidi" w:cstheme="majorBidi"/>
        </w:rPr>
        <w:t xml:space="preserve"> </w:t>
      </w:r>
      <w:proofErr w:type="spellStart"/>
      <w:r w:rsidRPr="00665F4A">
        <w:rPr>
          <w:rFonts w:asciiTheme="majorBidi" w:hAnsiTheme="majorBidi" w:cstheme="majorBidi"/>
        </w:rPr>
        <w:t>Krisberg</w:t>
      </w:r>
      <w:proofErr w:type="spellEnd"/>
      <w:r w:rsidRPr="00665F4A">
        <w:rPr>
          <w:rFonts w:asciiTheme="majorBidi" w:hAnsiTheme="majorBidi" w:cstheme="majorBidi"/>
        </w:rPr>
        <w:t>, "Reforming the California," 283</w:t>
      </w:r>
      <w:r w:rsidR="00655A0F">
        <w:rPr>
          <w:rFonts w:asciiTheme="majorBidi" w:hAnsiTheme="majorBidi" w:cstheme="majorBidi"/>
        </w:rPr>
        <w:t xml:space="preserve">; </w:t>
      </w:r>
      <w:proofErr w:type="spellStart"/>
      <w:r w:rsidR="00655A0F" w:rsidRPr="00655A0F">
        <w:rPr>
          <w:rFonts w:asciiTheme="majorBidi" w:hAnsiTheme="majorBidi" w:cstheme="majorBidi"/>
        </w:rPr>
        <w:t>Margeret</w:t>
      </w:r>
      <w:proofErr w:type="spellEnd"/>
      <w:r w:rsidR="00655A0F" w:rsidRPr="00655A0F">
        <w:rPr>
          <w:rFonts w:asciiTheme="majorBidi" w:hAnsiTheme="majorBidi" w:cstheme="majorBidi"/>
        </w:rPr>
        <w:t xml:space="preserve"> Farrell v. Mathew Cate, 27 S.W. (2004). Accessed August 14, 2022. https://prisonlaw.com/wp-content/uploads/2015/09/OSM27.pdf.</w:t>
      </w:r>
    </w:p>
  </w:footnote>
  <w:footnote w:id="6">
    <w:p w14:paraId="2A4C89FC" w14:textId="28CAA46B" w:rsidR="001F342A" w:rsidRPr="00D61472" w:rsidRDefault="001F342A" w:rsidP="00C37009">
      <w:pPr>
        <w:pStyle w:val="FootnoteText"/>
        <w:rPr>
          <w:rFonts w:asciiTheme="majorBidi" w:hAnsiTheme="majorBidi" w:cstheme="majorBidi"/>
        </w:rPr>
      </w:pPr>
      <w:r w:rsidRPr="00665F4A">
        <w:rPr>
          <w:rStyle w:val="FootnoteReference"/>
          <w:rFonts w:asciiTheme="majorBidi" w:hAnsiTheme="majorBidi" w:cstheme="majorBidi"/>
        </w:rPr>
        <w:footnoteRef/>
      </w:r>
      <w:r w:rsidRPr="00665F4A">
        <w:rPr>
          <w:rFonts w:asciiTheme="majorBidi" w:hAnsiTheme="majorBidi" w:cstheme="majorBidi"/>
        </w:rPr>
        <w:t xml:space="preserve"> </w:t>
      </w:r>
      <w:r w:rsidR="00221442" w:rsidRPr="00665F4A">
        <w:rPr>
          <w:rFonts w:asciiTheme="majorBidi" w:hAnsiTheme="majorBidi" w:cstheme="majorBidi"/>
        </w:rPr>
        <w:t>Bert O. Burraston, Stephen J. Bahr, and Davi</w:t>
      </w:r>
      <w:r w:rsidR="00221442" w:rsidRPr="00D61472">
        <w:rPr>
          <w:rFonts w:asciiTheme="majorBidi" w:hAnsiTheme="majorBidi" w:cstheme="majorBidi"/>
        </w:rPr>
        <w:t>d J. Cherrington, "Reducing Juvenile Delinquency with Automated Cell Phone Calls," </w:t>
      </w:r>
      <w:r w:rsidR="00221442" w:rsidRPr="00D61472">
        <w:rPr>
          <w:rFonts w:asciiTheme="majorBidi" w:hAnsiTheme="majorBidi" w:cstheme="majorBidi"/>
          <w:i/>
          <w:iCs/>
        </w:rPr>
        <w:t>International Journal of Offender Therapy and Comparative Criminology</w:t>
      </w:r>
      <w:r w:rsidR="00221442" w:rsidRPr="00D61472">
        <w:rPr>
          <w:rFonts w:asciiTheme="majorBidi" w:hAnsiTheme="majorBidi" w:cstheme="majorBidi"/>
        </w:rPr>
        <w:t> 58, no. 5 (March 12, 2013): 521, https://doi.org/10.1177/0306624X13480947. </w:t>
      </w:r>
    </w:p>
  </w:footnote>
  <w:footnote w:id="7">
    <w:p w14:paraId="07E5B1FF" w14:textId="45FA440F" w:rsidR="00C37009" w:rsidRPr="00D61472" w:rsidRDefault="00C37009" w:rsidP="00C77D3E">
      <w:pPr>
        <w:pStyle w:val="FootnoteText"/>
        <w:rPr>
          <w:rFonts w:asciiTheme="majorBidi" w:hAnsiTheme="majorBidi" w:cstheme="majorBidi"/>
        </w:rPr>
      </w:pPr>
      <w:r w:rsidRPr="00D61472">
        <w:rPr>
          <w:rStyle w:val="FootnoteReference"/>
          <w:rFonts w:asciiTheme="majorBidi" w:hAnsiTheme="majorBidi" w:cstheme="majorBidi"/>
        </w:rPr>
        <w:footnoteRef/>
      </w:r>
      <w:r w:rsidRPr="00D61472">
        <w:rPr>
          <w:rFonts w:asciiTheme="majorBidi" w:hAnsiTheme="majorBidi" w:cstheme="majorBidi"/>
        </w:rPr>
        <w:t xml:space="preserve"> Burraston, Bahr, and Cherrington, "Reducing Juvenile," 526.</w:t>
      </w:r>
    </w:p>
  </w:footnote>
  <w:footnote w:id="8">
    <w:p w14:paraId="5E819DF3" w14:textId="70717F2F" w:rsidR="00C77D3E" w:rsidRPr="00D61472" w:rsidRDefault="00C77D3E">
      <w:pPr>
        <w:pStyle w:val="FootnoteText"/>
        <w:rPr>
          <w:rFonts w:asciiTheme="majorBidi" w:hAnsiTheme="majorBidi" w:cstheme="majorBidi"/>
          <w:lang w:val="en-US"/>
        </w:rPr>
      </w:pPr>
      <w:r w:rsidRPr="00D61472">
        <w:rPr>
          <w:rStyle w:val="FootnoteReference"/>
          <w:rFonts w:asciiTheme="majorBidi" w:hAnsiTheme="majorBidi" w:cstheme="majorBidi"/>
        </w:rPr>
        <w:footnoteRef/>
      </w:r>
      <w:r w:rsidRPr="00D61472">
        <w:rPr>
          <w:rFonts w:asciiTheme="majorBidi" w:hAnsiTheme="majorBidi" w:cstheme="majorBidi"/>
        </w:rPr>
        <w:t xml:space="preserve"> Burraston, Bahr, and Cherrington, "Reducing Juvenile," 531 &amp; 523.</w:t>
      </w:r>
    </w:p>
  </w:footnote>
  <w:footnote w:id="9">
    <w:p w14:paraId="56FAB6DD" w14:textId="7A10F4CF" w:rsidR="00995215" w:rsidRPr="00D61472" w:rsidRDefault="00995215" w:rsidP="00995215">
      <w:pPr>
        <w:pStyle w:val="FootnoteText"/>
        <w:rPr>
          <w:rFonts w:asciiTheme="majorBidi" w:hAnsiTheme="majorBidi" w:cstheme="majorBidi"/>
        </w:rPr>
      </w:pPr>
      <w:r w:rsidRPr="00D61472">
        <w:rPr>
          <w:rStyle w:val="FootnoteReference"/>
          <w:rFonts w:asciiTheme="majorBidi" w:hAnsiTheme="majorBidi" w:cstheme="majorBidi"/>
        </w:rPr>
        <w:footnoteRef/>
      </w:r>
      <w:r w:rsidRPr="00D61472">
        <w:rPr>
          <w:rFonts w:asciiTheme="majorBidi" w:hAnsiTheme="majorBidi" w:cstheme="majorBidi"/>
        </w:rPr>
        <w:t xml:space="preserve"> Stephen J. Bahr, David J. Cherrington, and Lance D. Erickson, "An Evaluation of the Impact of Goal Setting and Cell Phone Calls on Juvenile Rearrests," </w:t>
      </w:r>
      <w:r w:rsidRPr="00D61472">
        <w:rPr>
          <w:rFonts w:asciiTheme="majorBidi" w:hAnsiTheme="majorBidi" w:cstheme="majorBidi"/>
          <w:i/>
          <w:iCs/>
        </w:rPr>
        <w:t>International Journal of Offender Therapy and Comparative Criminology</w:t>
      </w:r>
      <w:r w:rsidRPr="00D61472">
        <w:rPr>
          <w:rFonts w:asciiTheme="majorBidi" w:hAnsiTheme="majorBidi" w:cstheme="majorBidi"/>
        </w:rPr>
        <w:t> 60, no. 16 (July 28, 2016): 1820-1821, https://doi.org/10.1177/0306624X15588549. </w:t>
      </w:r>
    </w:p>
  </w:footnote>
  <w:footnote w:id="10">
    <w:p w14:paraId="7800025F" w14:textId="409B3E9B" w:rsidR="00995215" w:rsidRPr="00995215" w:rsidRDefault="00995215" w:rsidP="00995215">
      <w:pPr>
        <w:pStyle w:val="FootnoteText"/>
      </w:pPr>
      <w:r w:rsidRPr="00D61472">
        <w:rPr>
          <w:rStyle w:val="FootnoteReference"/>
          <w:rFonts w:asciiTheme="majorBidi" w:hAnsiTheme="majorBidi" w:cstheme="majorBidi"/>
        </w:rPr>
        <w:footnoteRef/>
      </w:r>
      <w:r w:rsidRPr="00D61472">
        <w:rPr>
          <w:rFonts w:asciiTheme="majorBidi" w:hAnsiTheme="majorBidi" w:cstheme="majorBidi"/>
        </w:rPr>
        <w:t xml:space="preserve"> Bahr, Cherrington, and Erickson, "An Evaluation," </w:t>
      </w:r>
      <w:r w:rsidR="00D61472" w:rsidRPr="00D61472">
        <w:rPr>
          <w:rFonts w:asciiTheme="majorBidi" w:hAnsiTheme="majorBidi" w:cstheme="majorBidi"/>
        </w:rPr>
        <w:t>1824.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E0A"/>
    <w:rsid w:val="00061A36"/>
    <w:rsid w:val="000914F0"/>
    <w:rsid w:val="000A5056"/>
    <w:rsid w:val="001166CF"/>
    <w:rsid w:val="00184BB0"/>
    <w:rsid w:val="001A34BC"/>
    <w:rsid w:val="001D1B54"/>
    <w:rsid w:val="001F342A"/>
    <w:rsid w:val="00221442"/>
    <w:rsid w:val="00221770"/>
    <w:rsid w:val="00301DCB"/>
    <w:rsid w:val="00374AFA"/>
    <w:rsid w:val="003A1388"/>
    <w:rsid w:val="003C3E5F"/>
    <w:rsid w:val="003C735E"/>
    <w:rsid w:val="00425813"/>
    <w:rsid w:val="00436C67"/>
    <w:rsid w:val="00453BB1"/>
    <w:rsid w:val="00480138"/>
    <w:rsid w:val="00481785"/>
    <w:rsid w:val="004A57FE"/>
    <w:rsid w:val="00505E4D"/>
    <w:rsid w:val="00511042"/>
    <w:rsid w:val="005302FD"/>
    <w:rsid w:val="00557D98"/>
    <w:rsid w:val="005A4B37"/>
    <w:rsid w:val="0065153D"/>
    <w:rsid w:val="00655A0F"/>
    <w:rsid w:val="00665F4A"/>
    <w:rsid w:val="006A08DF"/>
    <w:rsid w:val="006B0E90"/>
    <w:rsid w:val="00786042"/>
    <w:rsid w:val="007C0E4D"/>
    <w:rsid w:val="007D1413"/>
    <w:rsid w:val="007D6E6E"/>
    <w:rsid w:val="007E19AE"/>
    <w:rsid w:val="007E292F"/>
    <w:rsid w:val="00836DBF"/>
    <w:rsid w:val="00844CE6"/>
    <w:rsid w:val="00861090"/>
    <w:rsid w:val="008B1C9F"/>
    <w:rsid w:val="0096410D"/>
    <w:rsid w:val="00995215"/>
    <w:rsid w:val="009E6875"/>
    <w:rsid w:val="00AA6179"/>
    <w:rsid w:val="00AF19BB"/>
    <w:rsid w:val="00B569A6"/>
    <w:rsid w:val="00B70411"/>
    <w:rsid w:val="00B7154E"/>
    <w:rsid w:val="00BC1806"/>
    <w:rsid w:val="00BC6941"/>
    <w:rsid w:val="00BE1080"/>
    <w:rsid w:val="00C045CC"/>
    <w:rsid w:val="00C11B65"/>
    <w:rsid w:val="00C27A43"/>
    <w:rsid w:val="00C37009"/>
    <w:rsid w:val="00C77D3E"/>
    <w:rsid w:val="00D12FAE"/>
    <w:rsid w:val="00D203BC"/>
    <w:rsid w:val="00D32F40"/>
    <w:rsid w:val="00D37FE7"/>
    <w:rsid w:val="00D61472"/>
    <w:rsid w:val="00DC1E3B"/>
    <w:rsid w:val="00DE5823"/>
    <w:rsid w:val="00DF06E7"/>
    <w:rsid w:val="00E46265"/>
    <w:rsid w:val="00E706A4"/>
    <w:rsid w:val="00EB7E0A"/>
    <w:rsid w:val="00ED2666"/>
    <w:rsid w:val="00F358AD"/>
    <w:rsid w:val="00F37DA6"/>
    <w:rsid w:val="00F7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71A9BB"/>
  <w15:chartTrackingRefBased/>
  <w15:docId w15:val="{3659B5AD-C217-0D41-B0DF-74B7F3B1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41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6410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410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6410D"/>
    <w:rPr>
      <w:vertAlign w:val="superscript"/>
    </w:rPr>
  </w:style>
  <w:style w:type="paragraph" w:customStyle="1" w:styleId="custom-paragraph">
    <w:name w:val="custom-paragraph"/>
    <w:link w:val="custom-paragraphCar"/>
    <w:uiPriority w:val="99"/>
    <w:semiHidden/>
    <w:unhideWhenUsed/>
    <w:rsid w:val="0096410D"/>
    <w:pPr>
      <w:ind w:left="1000" w:hanging="750"/>
    </w:pPr>
    <w:rPr>
      <w:rFonts w:eastAsiaTheme="minorEastAsia"/>
      <w:sz w:val="20"/>
      <w:szCs w:val="22"/>
      <w:lang w:val="en-US"/>
    </w:rPr>
  </w:style>
  <w:style w:type="character" w:customStyle="1" w:styleId="custom-paragraphCar">
    <w:name w:val="custom-paragraphCar"/>
    <w:link w:val="custom-paragraph"/>
    <w:uiPriority w:val="99"/>
    <w:semiHidden/>
    <w:unhideWhenUsed/>
    <w:rsid w:val="0096410D"/>
    <w:rPr>
      <w:rFonts w:eastAsiaTheme="minorEastAsia"/>
      <w:sz w:val="20"/>
      <w:szCs w:val="22"/>
      <w:lang w:val="en-US"/>
    </w:rPr>
  </w:style>
  <w:style w:type="paragraph" w:customStyle="1" w:styleId="Default">
    <w:name w:val="Default"/>
    <w:rsid w:val="00480138"/>
    <w:pPr>
      <w:autoSpaceDE w:val="0"/>
      <w:autoSpaceDN w:val="0"/>
      <w:adjustRightInd w:val="0"/>
    </w:pPr>
    <w:rPr>
      <w:rFonts w:ascii="Code" w:hAnsi="Code" w:cs="Code"/>
      <w:color w:val="000000"/>
      <w:lang w:val="en-US"/>
    </w:rPr>
  </w:style>
  <w:style w:type="character" w:styleId="Hyperlink">
    <w:name w:val="Hyperlink"/>
    <w:basedOn w:val="DefaultParagraphFont"/>
    <w:uiPriority w:val="99"/>
    <w:unhideWhenUsed/>
    <w:rsid w:val="00DF06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06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E6D7A90-064E-E749-A5B2-96A878398E7E}">
  <we:reference id="wa200001011" version="1.2.0.0" store="en-US" storeType="OMEX"/>
  <we:alternateReferences>
    <we:reference id="wa200001011" version="1.2.0.0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2026-05-05T02:47:00Z</dcterms:created>
  <dcterms:modified xsi:type="dcterms:W3CDTF">2026-05-05T02:47:00Z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documentId_3709</vt:lpwstr>
  </property>
  <property fmtid="{D5CDD505-2E9C-101B-9397-08002B2CF9AE}" pid="3" name="grammarly_documentContext">
    <vt:lpwstr>{"goals":[],"domain":"general","emotions":[],"dialect":"canadian"}</vt:lpwstr>
  </property>
</Properties>
</file>