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45857" w14:textId="69116F05" w:rsidR="00EA59A4" w:rsidRPr="00E31552" w:rsidRDefault="00E31552" w:rsidP="00E31552">
      <w:pPr>
        <w:spacing w:line="276" w:lineRule="auto"/>
        <w:jc w:val="center"/>
        <w:rPr>
          <w:rFonts w:asciiTheme="majorBidi" w:hAnsiTheme="majorBidi" w:cstheme="majorBidi"/>
          <w:b/>
          <w:bCs/>
          <w:lang w:val="en-US"/>
        </w:rPr>
      </w:pPr>
      <w:r w:rsidRPr="00E31552">
        <w:rPr>
          <w:rFonts w:asciiTheme="majorBidi" w:hAnsiTheme="majorBidi" w:cstheme="majorBidi"/>
          <w:b/>
          <w:bCs/>
          <w:lang w:val="en-US"/>
        </w:rPr>
        <w:t>Notification letter for ex-felons re-iterating their voting rights</w:t>
      </w:r>
    </w:p>
    <w:p w14:paraId="668046D1" w14:textId="6229BBEE" w:rsidR="00EA59A4" w:rsidRPr="008A7211" w:rsidRDefault="00EA59A4" w:rsidP="007B1D18">
      <w:pPr>
        <w:rPr>
          <w:rFonts w:asciiTheme="majorBidi" w:hAnsiTheme="majorBidi" w:cstheme="majorBidi"/>
          <w:lang w:val="en-US"/>
        </w:rPr>
      </w:pPr>
    </w:p>
    <w:p w14:paraId="7DB004BF" w14:textId="64B31AB5" w:rsidR="00EA59A4" w:rsidRPr="008A7211" w:rsidRDefault="00EA59A4" w:rsidP="007B1D18">
      <w:pPr>
        <w:rPr>
          <w:rFonts w:asciiTheme="majorBidi" w:hAnsiTheme="majorBidi" w:cstheme="majorBidi"/>
          <w:lang w:val="en-US"/>
        </w:rPr>
      </w:pPr>
    </w:p>
    <w:p w14:paraId="46146D64" w14:textId="5B45ADBE" w:rsidR="00EA59A4" w:rsidRPr="008A7211" w:rsidRDefault="00EA59A4" w:rsidP="007B1D18">
      <w:pPr>
        <w:rPr>
          <w:rFonts w:asciiTheme="majorBidi" w:hAnsiTheme="majorBidi" w:cstheme="majorBidi"/>
          <w:lang w:val="en-US"/>
        </w:rPr>
      </w:pPr>
      <w:r w:rsidRPr="008A7211">
        <w:rPr>
          <w:rFonts w:asciiTheme="majorBidi" w:hAnsiTheme="majorBidi" w:cstheme="majorBidi"/>
          <w:lang w:val="en-US"/>
        </w:rPr>
        <w:t xml:space="preserve">After the euphoria of the Reconstruction era settled down, various Southern states in </w:t>
      </w:r>
      <w:r w:rsidR="00D429EB">
        <w:rPr>
          <w:rFonts w:asciiTheme="majorBidi" w:hAnsiTheme="majorBidi" w:cstheme="majorBidi"/>
          <w:lang w:val="en-US"/>
        </w:rPr>
        <w:t xml:space="preserve">the </w:t>
      </w:r>
      <w:r w:rsidR="00D20102" w:rsidRPr="008A7211">
        <w:rPr>
          <w:rFonts w:asciiTheme="majorBidi" w:hAnsiTheme="majorBidi" w:cstheme="majorBidi"/>
          <w:lang w:val="en-US"/>
        </w:rPr>
        <w:t>early 20</w:t>
      </w:r>
      <w:r w:rsidR="00D20102" w:rsidRPr="008A7211">
        <w:rPr>
          <w:rFonts w:asciiTheme="majorBidi" w:hAnsiTheme="majorBidi" w:cstheme="majorBidi"/>
          <w:vertAlign w:val="superscript"/>
          <w:lang w:val="en-US"/>
        </w:rPr>
        <w:t>th</w:t>
      </w:r>
      <w:r w:rsidR="00D20102" w:rsidRPr="008A7211">
        <w:rPr>
          <w:rFonts w:asciiTheme="majorBidi" w:hAnsiTheme="majorBidi" w:cstheme="majorBidi"/>
          <w:lang w:val="en-US"/>
        </w:rPr>
        <w:t xml:space="preserve"> century </w:t>
      </w:r>
      <w:r w:rsidRPr="008A7211">
        <w:rPr>
          <w:rFonts w:asciiTheme="majorBidi" w:hAnsiTheme="majorBidi" w:cstheme="majorBidi"/>
          <w:lang w:val="en-US"/>
        </w:rPr>
        <w:t xml:space="preserve">placed regulations that </w:t>
      </w:r>
      <w:r w:rsidR="00D20102" w:rsidRPr="008A7211">
        <w:rPr>
          <w:rFonts w:asciiTheme="majorBidi" w:hAnsiTheme="majorBidi" w:cstheme="majorBidi"/>
          <w:lang w:val="en-US"/>
        </w:rPr>
        <w:t xml:space="preserve">intentionally </w:t>
      </w:r>
      <w:r w:rsidRPr="008A7211">
        <w:rPr>
          <w:rFonts w:asciiTheme="majorBidi" w:hAnsiTheme="majorBidi" w:cstheme="majorBidi"/>
          <w:lang w:val="en-US"/>
        </w:rPr>
        <w:t>inhibit</w:t>
      </w:r>
      <w:r w:rsidR="00D20102" w:rsidRPr="008A7211">
        <w:rPr>
          <w:rFonts w:asciiTheme="majorBidi" w:hAnsiTheme="majorBidi" w:cstheme="majorBidi"/>
          <w:lang w:val="en-US"/>
        </w:rPr>
        <w:t>ed</w:t>
      </w:r>
      <w:r w:rsidRPr="008A7211">
        <w:rPr>
          <w:rFonts w:asciiTheme="majorBidi" w:hAnsiTheme="majorBidi" w:cstheme="majorBidi"/>
          <w:lang w:val="en-US"/>
        </w:rPr>
        <w:t xml:space="preserve"> African Americans from practicing their voting</w:t>
      </w:r>
      <w:r w:rsidR="00D20102" w:rsidRPr="008A7211">
        <w:rPr>
          <w:rFonts w:asciiTheme="majorBidi" w:hAnsiTheme="majorBidi" w:cstheme="majorBidi"/>
          <w:lang w:val="en-US"/>
        </w:rPr>
        <w:t xml:space="preserve"> rights</w:t>
      </w:r>
      <w:r w:rsidRPr="008A7211">
        <w:rPr>
          <w:rFonts w:asciiTheme="majorBidi" w:hAnsiTheme="majorBidi" w:cstheme="majorBidi"/>
          <w:lang w:val="en-US"/>
        </w:rPr>
        <w:t>. Apart from physical intimidation and force, literacy tests were a common method to block African Americans from voting.</w:t>
      </w:r>
      <w:r w:rsidR="00D20102" w:rsidRPr="008A7211">
        <w:rPr>
          <w:rFonts w:asciiTheme="majorBidi" w:hAnsiTheme="majorBidi" w:cstheme="majorBidi"/>
          <w:lang w:val="en-US"/>
        </w:rPr>
        <w:t xml:space="preserve"> To ensure that literacy tests would not affect illiterate white voters, legislators inserted ‘grandfather’ clauses which would allow those with parents or grandparents </w:t>
      </w:r>
      <w:r w:rsidR="00D429EB">
        <w:rPr>
          <w:rFonts w:asciiTheme="majorBidi" w:hAnsiTheme="majorBidi" w:cstheme="majorBidi"/>
          <w:lang w:val="en-US"/>
        </w:rPr>
        <w:t>who</w:t>
      </w:r>
      <w:r w:rsidR="00D20102" w:rsidRPr="008A7211">
        <w:rPr>
          <w:rFonts w:asciiTheme="majorBidi" w:hAnsiTheme="majorBidi" w:cstheme="majorBidi"/>
          <w:lang w:val="en-US"/>
        </w:rPr>
        <w:t xml:space="preserve"> held voting rights on 1 January 1867 to retain voting ability despite being illiterate.</w:t>
      </w:r>
      <w:r w:rsidR="00D429EB">
        <w:rPr>
          <w:rFonts w:asciiTheme="majorBidi" w:hAnsiTheme="majorBidi" w:cstheme="majorBidi"/>
          <w:lang w:val="en-US"/>
        </w:rPr>
        <w:t xml:space="preserve"> T</w:t>
      </w:r>
      <w:r w:rsidR="00D240AB" w:rsidRPr="008A7211">
        <w:rPr>
          <w:rFonts w:asciiTheme="majorBidi" w:hAnsiTheme="majorBidi" w:cstheme="majorBidi"/>
          <w:lang w:val="en-US"/>
        </w:rPr>
        <w:t>he</w:t>
      </w:r>
      <w:r w:rsidR="00D20102" w:rsidRPr="008A7211">
        <w:rPr>
          <w:rFonts w:asciiTheme="majorBidi" w:hAnsiTheme="majorBidi" w:cstheme="majorBidi"/>
          <w:lang w:val="en-US"/>
        </w:rPr>
        <w:t xml:space="preserve"> Voting Rights Act</w:t>
      </w:r>
      <w:r w:rsidR="00D240AB" w:rsidRPr="008A7211">
        <w:rPr>
          <w:rFonts w:asciiTheme="majorBidi" w:hAnsiTheme="majorBidi" w:cstheme="majorBidi"/>
          <w:lang w:val="en-US"/>
        </w:rPr>
        <w:t xml:space="preserve"> and</w:t>
      </w:r>
      <w:r w:rsidR="00D20102" w:rsidRPr="008A7211">
        <w:rPr>
          <w:rFonts w:asciiTheme="majorBidi" w:hAnsiTheme="majorBidi" w:cstheme="majorBidi"/>
          <w:lang w:val="en-US"/>
        </w:rPr>
        <w:t xml:space="preserve"> its amendments in 1965, 1970 and 1975</w:t>
      </w:r>
      <w:r w:rsidR="00D429EB">
        <w:rPr>
          <w:rFonts w:asciiTheme="majorBidi" w:hAnsiTheme="majorBidi" w:cstheme="majorBidi"/>
          <w:lang w:val="en-US"/>
        </w:rPr>
        <w:t xml:space="preserve"> prohibited</w:t>
      </w:r>
      <w:r w:rsidR="00D20102" w:rsidRPr="008A7211">
        <w:rPr>
          <w:rFonts w:asciiTheme="majorBidi" w:hAnsiTheme="majorBidi" w:cstheme="majorBidi"/>
          <w:lang w:val="en-US"/>
        </w:rPr>
        <w:t xml:space="preserve"> literacy test</w:t>
      </w:r>
      <w:r w:rsidR="00D429EB">
        <w:rPr>
          <w:rFonts w:asciiTheme="majorBidi" w:hAnsiTheme="majorBidi" w:cstheme="majorBidi"/>
          <w:lang w:val="en-US"/>
        </w:rPr>
        <w:t>s</w:t>
      </w:r>
      <w:r w:rsidR="00D20102" w:rsidRPr="008A7211">
        <w:rPr>
          <w:rFonts w:asciiTheme="majorBidi" w:hAnsiTheme="majorBidi" w:cstheme="majorBidi"/>
          <w:lang w:val="en-US"/>
        </w:rPr>
        <w:t xml:space="preserve"> </w:t>
      </w:r>
      <w:r w:rsidR="00D429EB">
        <w:rPr>
          <w:rFonts w:asciiTheme="majorBidi" w:hAnsiTheme="majorBidi" w:cstheme="majorBidi"/>
          <w:lang w:val="en-US"/>
        </w:rPr>
        <w:t xml:space="preserve">because they were </w:t>
      </w:r>
      <w:r w:rsidR="00D20102" w:rsidRPr="008A7211">
        <w:rPr>
          <w:rFonts w:asciiTheme="majorBidi" w:hAnsiTheme="majorBidi" w:cstheme="majorBidi"/>
          <w:lang w:val="en-US"/>
        </w:rPr>
        <w:t>an indirect way of disenfranchising African Americans.</w:t>
      </w:r>
      <w:r w:rsidR="008A7211" w:rsidRPr="008A7211">
        <w:rPr>
          <w:rStyle w:val="FootnoteReference"/>
          <w:rFonts w:asciiTheme="majorBidi" w:hAnsiTheme="majorBidi" w:cstheme="majorBidi"/>
          <w:lang w:val="en-US"/>
        </w:rPr>
        <w:footnoteReference w:id="1"/>
      </w:r>
      <w:r w:rsidR="00D20102" w:rsidRPr="008A7211">
        <w:rPr>
          <w:rFonts w:asciiTheme="majorBidi" w:hAnsiTheme="majorBidi" w:cstheme="majorBidi"/>
          <w:lang w:val="en-US"/>
        </w:rPr>
        <w:t xml:space="preserve"> </w:t>
      </w:r>
    </w:p>
    <w:p w14:paraId="20ABAA36" w14:textId="74AD9F39" w:rsidR="00D20102" w:rsidRPr="008A7211" w:rsidRDefault="00D20102" w:rsidP="007B1D18">
      <w:pPr>
        <w:rPr>
          <w:rFonts w:asciiTheme="majorBidi" w:hAnsiTheme="majorBidi" w:cstheme="majorBidi"/>
          <w:lang w:val="en-US"/>
        </w:rPr>
      </w:pPr>
    </w:p>
    <w:p w14:paraId="76197869" w14:textId="22D35A63" w:rsidR="00D20102" w:rsidRPr="008A7211" w:rsidRDefault="00D20102" w:rsidP="007B1D18">
      <w:pPr>
        <w:rPr>
          <w:rFonts w:asciiTheme="majorBidi" w:hAnsiTheme="majorBidi" w:cstheme="majorBidi"/>
          <w:lang w:val="en-US"/>
        </w:rPr>
      </w:pPr>
      <w:r w:rsidRPr="008A7211">
        <w:rPr>
          <w:rFonts w:asciiTheme="majorBidi" w:hAnsiTheme="majorBidi" w:cstheme="majorBidi"/>
          <w:lang w:val="en-US"/>
        </w:rPr>
        <w:t>Since the fall of literacy tests, incarceration rates have skyrocketed and disproportionately affected</w:t>
      </w:r>
      <w:r w:rsidR="00D429EB">
        <w:rPr>
          <w:rFonts w:asciiTheme="majorBidi" w:hAnsiTheme="majorBidi" w:cstheme="majorBidi"/>
          <w:lang w:val="en-US"/>
        </w:rPr>
        <w:t xml:space="preserve"> African Americans,</w:t>
      </w:r>
      <w:r w:rsidRPr="008A7211">
        <w:rPr>
          <w:rFonts w:asciiTheme="majorBidi" w:hAnsiTheme="majorBidi" w:cstheme="majorBidi"/>
          <w:lang w:val="en-US"/>
        </w:rPr>
        <w:t xml:space="preserve"> </w:t>
      </w:r>
      <w:r w:rsidR="00D429EB">
        <w:rPr>
          <w:rFonts w:asciiTheme="majorBidi" w:hAnsiTheme="majorBidi" w:cstheme="majorBidi"/>
          <w:lang w:val="en-US"/>
        </w:rPr>
        <w:t>indicating a shift in the method of disenfranchising the community</w:t>
      </w:r>
      <w:r w:rsidRPr="008A7211">
        <w:rPr>
          <w:rFonts w:asciiTheme="majorBidi" w:hAnsiTheme="majorBidi" w:cstheme="majorBidi"/>
          <w:lang w:val="en-US"/>
        </w:rPr>
        <w:t xml:space="preserve">. The </w:t>
      </w:r>
      <w:r w:rsidR="00D429EB">
        <w:rPr>
          <w:rFonts w:asciiTheme="majorBidi" w:hAnsiTheme="majorBidi" w:cstheme="majorBidi"/>
          <w:lang w:val="en-US"/>
        </w:rPr>
        <w:t>portion</w:t>
      </w:r>
      <w:r w:rsidRPr="008A7211">
        <w:rPr>
          <w:rFonts w:asciiTheme="majorBidi" w:hAnsiTheme="majorBidi" w:cstheme="majorBidi"/>
          <w:lang w:val="en-US"/>
        </w:rPr>
        <w:t xml:space="preserve"> of federal inmates imprisoned for drug offences increased from 25% in 1980 to 60% in 1995.</w:t>
      </w:r>
      <w:r w:rsidRPr="008A7211">
        <w:rPr>
          <w:rStyle w:val="FootnoteReference"/>
          <w:rFonts w:asciiTheme="majorBidi" w:hAnsiTheme="majorBidi" w:cstheme="majorBidi"/>
          <w:lang w:val="en-US"/>
        </w:rPr>
        <w:footnoteReference w:id="2"/>
      </w:r>
      <w:r w:rsidRPr="008A7211">
        <w:rPr>
          <w:rFonts w:asciiTheme="majorBidi" w:hAnsiTheme="majorBidi" w:cstheme="majorBidi"/>
          <w:lang w:val="en-US"/>
        </w:rPr>
        <w:t xml:space="preserve"> </w:t>
      </w:r>
      <w:r w:rsidR="00D429EB">
        <w:rPr>
          <w:rFonts w:asciiTheme="majorBidi" w:hAnsiTheme="majorBidi" w:cstheme="majorBidi"/>
          <w:lang w:val="en-US"/>
        </w:rPr>
        <w:t>Race exacerbates these figures</w:t>
      </w:r>
      <w:r w:rsidRPr="008A7211">
        <w:rPr>
          <w:rFonts w:asciiTheme="majorBidi" w:hAnsiTheme="majorBidi" w:cstheme="majorBidi"/>
          <w:lang w:val="en-US"/>
        </w:rPr>
        <w:t xml:space="preserve">; </w:t>
      </w:r>
      <w:r w:rsidR="00D429EB">
        <w:rPr>
          <w:rFonts w:asciiTheme="majorBidi" w:hAnsiTheme="majorBidi" w:cstheme="majorBidi"/>
          <w:lang w:val="en-US"/>
        </w:rPr>
        <w:t>a</w:t>
      </w:r>
      <w:r w:rsidRPr="008A7211">
        <w:rPr>
          <w:rFonts w:asciiTheme="majorBidi" w:hAnsiTheme="majorBidi" w:cstheme="majorBidi"/>
          <w:lang w:val="en-US"/>
        </w:rPr>
        <w:t xml:space="preserve">ccording to a 1993 study, despite 65% of </w:t>
      </w:r>
      <w:r w:rsidR="00D429EB">
        <w:rPr>
          <w:rFonts w:asciiTheme="majorBidi" w:hAnsiTheme="majorBidi" w:cstheme="majorBidi"/>
          <w:lang w:val="en-US"/>
        </w:rPr>
        <w:t>crack users</w:t>
      </w:r>
      <w:r w:rsidRPr="008A7211">
        <w:rPr>
          <w:rFonts w:asciiTheme="majorBidi" w:hAnsiTheme="majorBidi" w:cstheme="majorBidi"/>
          <w:lang w:val="en-US"/>
        </w:rPr>
        <w:t xml:space="preserve"> being </w:t>
      </w:r>
      <w:r w:rsidR="00D429EB">
        <w:rPr>
          <w:rFonts w:asciiTheme="majorBidi" w:hAnsiTheme="majorBidi" w:cstheme="majorBidi"/>
          <w:lang w:val="en-US"/>
        </w:rPr>
        <w:t>W</w:t>
      </w:r>
      <w:r w:rsidRPr="008A7211">
        <w:rPr>
          <w:rFonts w:asciiTheme="majorBidi" w:hAnsiTheme="majorBidi" w:cstheme="majorBidi"/>
          <w:lang w:val="en-US"/>
        </w:rPr>
        <w:t xml:space="preserve">hite, only 4% convicted of possessing the same were </w:t>
      </w:r>
      <w:r w:rsidR="00D429EB">
        <w:rPr>
          <w:rFonts w:asciiTheme="majorBidi" w:hAnsiTheme="majorBidi" w:cstheme="majorBidi"/>
          <w:lang w:val="en-US"/>
        </w:rPr>
        <w:t>W</w:t>
      </w:r>
      <w:r w:rsidRPr="008A7211">
        <w:rPr>
          <w:rFonts w:asciiTheme="majorBidi" w:hAnsiTheme="majorBidi" w:cstheme="majorBidi"/>
          <w:lang w:val="en-US"/>
        </w:rPr>
        <w:t>hite</w:t>
      </w:r>
      <w:r w:rsidR="00D429EB">
        <w:rPr>
          <w:rFonts w:asciiTheme="majorBidi" w:hAnsiTheme="majorBidi" w:cstheme="majorBidi"/>
          <w:lang w:val="en-US"/>
        </w:rPr>
        <w:t>,</w:t>
      </w:r>
      <w:r w:rsidRPr="008A7211">
        <w:rPr>
          <w:rFonts w:asciiTheme="majorBidi" w:hAnsiTheme="majorBidi" w:cstheme="majorBidi"/>
          <w:lang w:val="en-US"/>
        </w:rPr>
        <w:t xml:space="preserve"> while the corresponding figure for African Americans was 88%. This indicates that the criminal justice system disproportionately</w:t>
      </w:r>
      <w:r w:rsidR="00D429EB">
        <w:rPr>
          <w:rFonts w:asciiTheme="majorBidi" w:hAnsiTheme="majorBidi" w:cstheme="majorBidi"/>
          <w:lang w:val="en-US"/>
        </w:rPr>
        <w:t xml:space="preserve"> and unjustly</w:t>
      </w:r>
      <w:r w:rsidRPr="008A7211">
        <w:rPr>
          <w:rFonts w:asciiTheme="majorBidi" w:hAnsiTheme="majorBidi" w:cstheme="majorBidi"/>
          <w:lang w:val="en-US"/>
        </w:rPr>
        <w:t xml:space="preserve"> affects African Americans. Fourteen states disenfranchise </w:t>
      </w:r>
      <w:r w:rsidR="00D429EB">
        <w:rPr>
          <w:rFonts w:asciiTheme="majorBidi" w:hAnsiTheme="majorBidi" w:cstheme="majorBidi"/>
          <w:lang w:val="en-US"/>
        </w:rPr>
        <w:t xml:space="preserve">ex-felons in some way, with some </w:t>
      </w:r>
      <w:r w:rsidRPr="008A7211">
        <w:rPr>
          <w:rFonts w:asciiTheme="majorBidi" w:hAnsiTheme="majorBidi" w:cstheme="majorBidi"/>
          <w:lang w:val="en-US"/>
        </w:rPr>
        <w:t>like Alabama and Florida</w:t>
      </w:r>
      <w:r w:rsidR="00D429EB">
        <w:rPr>
          <w:rFonts w:asciiTheme="majorBidi" w:hAnsiTheme="majorBidi" w:cstheme="majorBidi"/>
          <w:lang w:val="en-US"/>
        </w:rPr>
        <w:t xml:space="preserve"> </w:t>
      </w:r>
      <w:r w:rsidR="00D429EB" w:rsidRPr="008A7211">
        <w:rPr>
          <w:rFonts w:asciiTheme="majorBidi" w:hAnsiTheme="majorBidi" w:cstheme="majorBidi"/>
          <w:lang w:val="en-US"/>
        </w:rPr>
        <w:t xml:space="preserve">permanently </w:t>
      </w:r>
      <w:r w:rsidR="00D429EB">
        <w:rPr>
          <w:rFonts w:asciiTheme="majorBidi" w:hAnsiTheme="majorBidi" w:cstheme="majorBidi"/>
          <w:lang w:val="en-US"/>
        </w:rPr>
        <w:t xml:space="preserve">disenfranchising </w:t>
      </w:r>
      <w:r w:rsidRPr="008A7211">
        <w:rPr>
          <w:rFonts w:asciiTheme="majorBidi" w:hAnsiTheme="majorBidi" w:cstheme="majorBidi"/>
          <w:lang w:val="en-US"/>
        </w:rPr>
        <w:t>almost a third of male African American adult citizens.</w:t>
      </w:r>
      <w:r w:rsidR="008A7211" w:rsidRPr="008A7211">
        <w:rPr>
          <w:rStyle w:val="FootnoteReference"/>
          <w:rFonts w:asciiTheme="majorBidi" w:hAnsiTheme="majorBidi" w:cstheme="majorBidi"/>
          <w:lang w:val="en-US"/>
        </w:rPr>
        <w:footnoteReference w:id="3"/>
      </w:r>
    </w:p>
    <w:p w14:paraId="38DA7C25" w14:textId="5EE98069" w:rsidR="00D20102" w:rsidRPr="008A7211" w:rsidRDefault="00D20102" w:rsidP="007B1D18">
      <w:pPr>
        <w:rPr>
          <w:rFonts w:asciiTheme="majorBidi" w:hAnsiTheme="majorBidi" w:cstheme="majorBidi"/>
          <w:lang w:val="en-US"/>
        </w:rPr>
      </w:pPr>
    </w:p>
    <w:p w14:paraId="5E19F7EB" w14:textId="6E723600" w:rsidR="00B86236" w:rsidRPr="008A7211" w:rsidRDefault="009A455E" w:rsidP="00D429EB">
      <w:pPr>
        <w:rPr>
          <w:rFonts w:asciiTheme="majorBidi" w:hAnsiTheme="majorBidi" w:cstheme="majorBidi"/>
          <w:lang w:val="en-US"/>
        </w:rPr>
      </w:pPr>
      <w:r w:rsidRPr="008A7211">
        <w:rPr>
          <w:rFonts w:asciiTheme="majorBidi" w:hAnsiTheme="majorBidi" w:cstheme="majorBidi"/>
          <w:lang w:val="en-US"/>
        </w:rPr>
        <w:t>African American</w:t>
      </w:r>
      <w:r w:rsidR="00D240AB" w:rsidRPr="008A7211">
        <w:rPr>
          <w:rFonts w:asciiTheme="majorBidi" w:hAnsiTheme="majorBidi" w:cstheme="majorBidi"/>
          <w:lang w:val="en-US"/>
        </w:rPr>
        <w:t xml:space="preserve"> voters are less likely to be active in the political sphere due to various socio-economic variables such as poorer access to education, employment and housing. Furthermore, other </w:t>
      </w:r>
      <w:r w:rsidR="00D429EB">
        <w:rPr>
          <w:rFonts w:asciiTheme="majorBidi" w:hAnsiTheme="majorBidi" w:cstheme="majorBidi"/>
          <w:lang w:val="en-US"/>
        </w:rPr>
        <w:t>voting obstacles exist that dilute</w:t>
      </w:r>
      <w:r w:rsidRPr="008A7211">
        <w:rPr>
          <w:rFonts w:asciiTheme="majorBidi" w:hAnsiTheme="majorBidi" w:cstheme="majorBidi"/>
          <w:lang w:val="en-US"/>
        </w:rPr>
        <w:t xml:space="preserve"> the</w:t>
      </w:r>
      <w:r w:rsidR="00D240AB" w:rsidRPr="008A7211">
        <w:rPr>
          <w:rFonts w:asciiTheme="majorBidi" w:hAnsiTheme="majorBidi" w:cstheme="majorBidi"/>
          <w:lang w:val="en-US"/>
        </w:rPr>
        <w:t xml:space="preserve"> </w:t>
      </w:r>
      <w:r w:rsidRPr="008A7211">
        <w:rPr>
          <w:rFonts w:asciiTheme="majorBidi" w:hAnsiTheme="majorBidi" w:cstheme="majorBidi"/>
          <w:lang w:val="en-US"/>
        </w:rPr>
        <w:t xml:space="preserve">African American </w:t>
      </w:r>
      <w:r w:rsidR="00D240AB" w:rsidRPr="008A7211">
        <w:rPr>
          <w:rFonts w:asciiTheme="majorBidi" w:hAnsiTheme="majorBidi" w:cstheme="majorBidi"/>
          <w:lang w:val="en-US"/>
        </w:rPr>
        <w:t>voter base</w:t>
      </w:r>
      <w:r w:rsidR="00D429EB">
        <w:rPr>
          <w:rFonts w:asciiTheme="majorBidi" w:hAnsiTheme="majorBidi" w:cstheme="majorBidi"/>
          <w:lang w:val="en-US"/>
        </w:rPr>
        <w:t>,</w:t>
      </w:r>
      <w:r w:rsidR="00D240AB" w:rsidRPr="008A7211">
        <w:rPr>
          <w:rFonts w:asciiTheme="majorBidi" w:hAnsiTheme="majorBidi" w:cstheme="majorBidi"/>
          <w:lang w:val="en-US"/>
        </w:rPr>
        <w:t xml:space="preserve"> such as </w:t>
      </w:r>
      <w:r w:rsidRPr="008A7211">
        <w:rPr>
          <w:rFonts w:asciiTheme="majorBidi" w:hAnsiTheme="majorBidi" w:cstheme="majorBidi"/>
          <w:lang w:val="en-US"/>
        </w:rPr>
        <w:t>inconvenient voting times and the lack of non-white voting officials.</w:t>
      </w:r>
      <w:r w:rsidRPr="008A7211">
        <w:rPr>
          <w:rStyle w:val="FootnoteReference"/>
          <w:rFonts w:asciiTheme="majorBidi" w:hAnsiTheme="majorBidi" w:cstheme="majorBidi"/>
          <w:lang w:val="en-US"/>
        </w:rPr>
        <w:footnoteReference w:id="4"/>
      </w:r>
      <w:r w:rsidRPr="008A7211">
        <w:rPr>
          <w:rFonts w:asciiTheme="majorBidi" w:hAnsiTheme="majorBidi" w:cstheme="majorBidi"/>
          <w:lang w:val="en-US"/>
        </w:rPr>
        <w:t xml:space="preserve"> Ex-Felon disenfranchisement simply further compounds </w:t>
      </w:r>
      <w:r w:rsidR="00D429EB">
        <w:rPr>
          <w:rFonts w:asciiTheme="majorBidi" w:hAnsiTheme="majorBidi" w:cstheme="majorBidi"/>
          <w:lang w:val="en-US"/>
        </w:rPr>
        <w:t>this</w:t>
      </w:r>
      <w:r w:rsidRPr="008A7211">
        <w:rPr>
          <w:rFonts w:asciiTheme="majorBidi" w:hAnsiTheme="majorBidi" w:cstheme="majorBidi"/>
          <w:lang w:val="en-US"/>
        </w:rPr>
        <w:t xml:space="preserve">. </w:t>
      </w:r>
      <w:r w:rsidR="00626064" w:rsidRPr="008A7211">
        <w:rPr>
          <w:rFonts w:asciiTheme="majorBidi" w:hAnsiTheme="majorBidi" w:cstheme="majorBidi"/>
          <w:lang w:val="en-US"/>
        </w:rPr>
        <w:t xml:space="preserve">Such an exclusion can have wide-ranging effects on the </w:t>
      </w:r>
      <w:r w:rsidR="00D429EB">
        <w:rPr>
          <w:rFonts w:asciiTheme="majorBidi" w:hAnsiTheme="majorBidi" w:cstheme="majorBidi"/>
          <w:lang w:val="en-US"/>
        </w:rPr>
        <w:t>country's political trajectory</w:t>
      </w:r>
      <w:r w:rsidR="00626064" w:rsidRPr="008A7211">
        <w:rPr>
          <w:rFonts w:asciiTheme="majorBidi" w:hAnsiTheme="majorBidi" w:cstheme="majorBidi"/>
          <w:lang w:val="en-US"/>
        </w:rPr>
        <w:t xml:space="preserve">. For example, if ex-felons </w:t>
      </w:r>
      <w:r w:rsidR="00D429EB">
        <w:rPr>
          <w:rFonts w:asciiTheme="majorBidi" w:hAnsiTheme="majorBidi" w:cstheme="majorBidi"/>
          <w:lang w:val="en-US"/>
        </w:rPr>
        <w:t>could</w:t>
      </w:r>
      <w:r w:rsidR="00626064" w:rsidRPr="008A7211">
        <w:rPr>
          <w:rFonts w:asciiTheme="majorBidi" w:hAnsiTheme="majorBidi" w:cstheme="majorBidi"/>
          <w:lang w:val="en-US"/>
        </w:rPr>
        <w:t xml:space="preserve"> vote in Florida in 2000, Al Gore would have likely won the state and the elections. Further, if ex-felons had the vote, seven senatorial elections since 1978 would </w:t>
      </w:r>
      <w:r w:rsidR="00D429EB">
        <w:rPr>
          <w:rFonts w:asciiTheme="majorBidi" w:hAnsiTheme="majorBidi" w:cstheme="majorBidi"/>
          <w:lang w:val="en-US"/>
        </w:rPr>
        <w:t xml:space="preserve">have </w:t>
      </w:r>
      <w:r w:rsidR="00626064" w:rsidRPr="008A7211">
        <w:rPr>
          <w:rFonts w:asciiTheme="majorBidi" w:hAnsiTheme="majorBidi" w:cstheme="majorBidi"/>
          <w:lang w:val="en-US"/>
        </w:rPr>
        <w:t>a different outcome.</w:t>
      </w:r>
      <w:r w:rsidR="00626064" w:rsidRPr="008A7211">
        <w:rPr>
          <w:rStyle w:val="FootnoteReference"/>
          <w:rFonts w:asciiTheme="majorBidi" w:hAnsiTheme="majorBidi" w:cstheme="majorBidi"/>
          <w:lang w:val="en-US"/>
        </w:rPr>
        <w:footnoteReference w:id="5"/>
      </w:r>
      <w:r w:rsidR="00B86236" w:rsidRPr="008A7211">
        <w:rPr>
          <w:rFonts w:asciiTheme="majorBidi" w:hAnsiTheme="majorBidi" w:cstheme="majorBidi"/>
          <w:lang w:val="en-US"/>
        </w:rPr>
        <w:t xml:space="preserve"> </w:t>
      </w:r>
      <w:r w:rsidR="00D429EB">
        <w:rPr>
          <w:rFonts w:asciiTheme="majorBidi" w:hAnsiTheme="majorBidi" w:cstheme="majorBidi"/>
          <w:lang w:val="en-US"/>
        </w:rPr>
        <w:t>Residents of</w:t>
      </w:r>
      <w:r w:rsidR="00B86236" w:rsidRPr="008A7211">
        <w:rPr>
          <w:rFonts w:asciiTheme="majorBidi" w:hAnsiTheme="majorBidi" w:cstheme="majorBidi"/>
          <w:lang w:val="en-US"/>
        </w:rPr>
        <w:t xml:space="preserve"> </w:t>
      </w:r>
      <w:r w:rsidR="00D429EB">
        <w:rPr>
          <w:rFonts w:asciiTheme="majorBidi" w:hAnsiTheme="majorBidi" w:cstheme="majorBidi"/>
          <w:lang w:val="en-US"/>
        </w:rPr>
        <w:t>neighbourhoods</w:t>
      </w:r>
      <w:r w:rsidR="00B86236" w:rsidRPr="008A7211">
        <w:rPr>
          <w:rFonts w:asciiTheme="majorBidi" w:hAnsiTheme="majorBidi" w:cstheme="majorBidi"/>
          <w:lang w:val="en-US"/>
        </w:rPr>
        <w:t xml:space="preserve"> </w:t>
      </w:r>
      <w:r w:rsidR="00D429EB">
        <w:rPr>
          <w:rFonts w:asciiTheme="majorBidi" w:hAnsiTheme="majorBidi" w:cstheme="majorBidi"/>
          <w:lang w:val="en-US"/>
        </w:rPr>
        <w:t xml:space="preserve">constantly </w:t>
      </w:r>
      <w:r w:rsidR="00D429EB" w:rsidRPr="008A7211">
        <w:rPr>
          <w:rFonts w:asciiTheme="majorBidi" w:hAnsiTheme="majorBidi" w:cstheme="majorBidi"/>
          <w:lang w:val="en-US"/>
        </w:rPr>
        <w:t xml:space="preserve">surveilled by law enforcement agencies </w:t>
      </w:r>
      <w:r w:rsidR="00B86236" w:rsidRPr="008A7211">
        <w:rPr>
          <w:rFonts w:asciiTheme="majorBidi" w:hAnsiTheme="majorBidi" w:cstheme="majorBidi"/>
          <w:lang w:val="en-US"/>
        </w:rPr>
        <w:t>are less likely to be active in politics and community even if they haven’t been incarcerated.</w:t>
      </w:r>
      <w:r w:rsidR="00B86236" w:rsidRPr="008A7211">
        <w:rPr>
          <w:rStyle w:val="FootnoteReference"/>
          <w:rFonts w:asciiTheme="majorBidi" w:hAnsiTheme="majorBidi" w:cstheme="majorBidi"/>
          <w:lang w:val="en-US"/>
        </w:rPr>
        <w:footnoteReference w:id="6"/>
      </w:r>
      <w:r w:rsidR="00B86236" w:rsidRPr="008A7211">
        <w:rPr>
          <w:rFonts w:asciiTheme="majorBidi" w:hAnsiTheme="majorBidi" w:cstheme="majorBidi"/>
          <w:lang w:val="en-US"/>
        </w:rPr>
        <w:t xml:space="preserve"> This shows the ripple effects of disenfranchisement and </w:t>
      </w:r>
      <w:r w:rsidR="00D429EB">
        <w:rPr>
          <w:rFonts w:asciiTheme="majorBidi" w:hAnsiTheme="majorBidi" w:cstheme="majorBidi"/>
          <w:lang w:val="en-US"/>
        </w:rPr>
        <w:t xml:space="preserve">the </w:t>
      </w:r>
      <w:r w:rsidR="00B86236" w:rsidRPr="008A7211">
        <w:rPr>
          <w:rFonts w:asciiTheme="majorBidi" w:hAnsiTheme="majorBidi" w:cstheme="majorBidi"/>
          <w:lang w:val="en-US"/>
        </w:rPr>
        <w:t xml:space="preserve">disproportionate targeting of racial minorities.    </w:t>
      </w:r>
    </w:p>
    <w:p w14:paraId="7683F1A1" w14:textId="77777777" w:rsidR="00B86236" w:rsidRPr="008A7211" w:rsidRDefault="00B86236" w:rsidP="007B1D18">
      <w:pPr>
        <w:rPr>
          <w:rFonts w:asciiTheme="majorBidi" w:hAnsiTheme="majorBidi" w:cstheme="majorBidi"/>
          <w:lang w:val="en-US"/>
        </w:rPr>
      </w:pPr>
    </w:p>
    <w:p w14:paraId="56A0A267" w14:textId="199E49F9" w:rsidR="00D240AB" w:rsidRPr="008A7211" w:rsidRDefault="00B86236" w:rsidP="007B1D18">
      <w:pPr>
        <w:rPr>
          <w:rFonts w:asciiTheme="majorBidi" w:hAnsiTheme="majorBidi" w:cstheme="majorBidi"/>
          <w:lang w:val="en-US"/>
        </w:rPr>
      </w:pPr>
      <w:r w:rsidRPr="008A7211">
        <w:rPr>
          <w:rFonts w:asciiTheme="majorBidi" w:hAnsiTheme="majorBidi" w:cstheme="majorBidi"/>
          <w:lang w:val="en-US"/>
        </w:rPr>
        <w:t xml:space="preserve">While there already have been efforts to enfranchise ex-felons federally, simply enfranchising the ex-felons would likely not </w:t>
      </w:r>
      <w:r w:rsidR="00D429EB">
        <w:rPr>
          <w:rFonts w:asciiTheme="majorBidi" w:hAnsiTheme="majorBidi" w:cstheme="majorBidi"/>
          <w:lang w:val="en-US"/>
        </w:rPr>
        <w:t>increase the number of</w:t>
      </w:r>
      <w:r w:rsidRPr="008A7211">
        <w:rPr>
          <w:rFonts w:asciiTheme="majorBidi" w:hAnsiTheme="majorBidi" w:cstheme="majorBidi"/>
          <w:lang w:val="en-US"/>
        </w:rPr>
        <w:t xml:space="preserve"> politically active individuals.</w:t>
      </w:r>
      <w:r w:rsidR="008F4490" w:rsidRPr="008A7211">
        <w:rPr>
          <w:rStyle w:val="FootnoteReference"/>
          <w:rFonts w:asciiTheme="majorBidi" w:hAnsiTheme="majorBidi" w:cstheme="majorBidi"/>
          <w:lang w:val="en-US"/>
        </w:rPr>
        <w:footnoteReference w:id="7"/>
      </w:r>
      <w:r w:rsidRPr="008A7211">
        <w:rPr>
          <w:rFonts w:asciiTheme="majorBidi" w:hAnsiTheme="majorBidi" w:cstheme="majorBidi"/>
          <w:lang w:val="en-US"/>
        </w:rPr>
        <w:t xml:space="preserve"> </w:t>
      </w:r>
      <w:r w:rsidR="00626064" w:rsidRPr="008A7211">
        <w:rPr>
          <w:rFonts w:asciiTheme="majorBidi" w:hAnsiTheme="majorBidi" w:cstheme="majorBidi"/>
          <w:lang w:val="en-US"/>
        </w:rPr>
        <w:t xml:space="preserve"> </w:t>
      </w:r>
    </w:p>
    <w:p w14:paraId="09BF5B26" w14:textId="0D1876E8" w:rsidR="00B86236" w:rsidRPr="008A7211" w:rsidRDefault="00B86236" w:rsidP="007B1D18">
      <w:pPr>
        <w:rPr>
          <w:rFonts w:asciiTheme="majorBidi" w:hAnsiTheme="majorBidi" w:cstheme="majorBidi"/>
          <w:lang w:val="en-US"/>
        </w:rPr>
      </w:pPr>
    </w:p>
    <w:p w14:paraId="7E965B4C" w14:textId="474FADDD" w:rsidR="00B86236" w:rsidRPr="008A7211" w:rsidRDefault="008F4490" w:rsidP="007B1D18">
      <w:pPr>
        <w:rPr>
          <w:rFonts w:asciiTheme="majorBidi" w:hAnsiTheme="majorBidi" w:cstheme="majorBidi"/>
          <w:b/>
          <w:bCs/>
          <w:lang w:val="en-US"/>
        </w:rPr>
      </w:pPr>
      <w:r w:rsidRPr="008A7211">
        <w:rPr>
          <w:rFonts w:asciiTheme="majorBidi" w:hAnsiTheme="majorBidi" w:cstheme="majorBidi"/>
          <w:b/>
          <w:bCs/>
          <w:lang w:val="en-US"/>
        </w:rPr>
        <w:lastRenderedPageBreak/>
        <w:t>Recommendations</w:t>
      </w:r>
    </w:p>
    <w:p w14:paraId="015D5001" w14:textId="77777777" w:rsidR="008F4490" w:rsidRPr="008A7211" w:rsidRDefault="008F4490" w:rsidP="007B1D18">
      <w:pPr>
        <w:rPr>
          <w:rFonts w:asciiTheme="majorBidi" w:hAnsiTheme="majorBidi" w:cstheme="majorBidi"/>
          <w:lang w:val="en-US"/>
        </w:rPr>
      </w:pPr>
    </w:p>
    <w:p w14:paraId="586796D1" w14:textId="19D22B44" w:rsidR="008F4490" w:rsidRPr="00D429EB" w:rsidRDefault="008F4490" w:rsidP="007B1D18">
      <w:pPr>
        <w:rPr>
          <w:rFonts w:asciiTheme="majorBidi" w:hAnsiTheme="majorBidi" w:cstheme="majorBidi"/>
          <w:u w:val="single"/>
          <w:lang w:val="en-US"/>
        </w:rPr>
      </w:pPr>
      <w:r w:rsidRPr="008A7211">
        <w:rPr>
          <w:rFonts w:asciiTheme="majorBidi" w:hAnsiTheme="majorBidi" w:cstheme="majorBidi"/>
          <w:lang w:val="en-US"/>
        </w:rPr>
        <w:t xml:space="preserve">According to a field experiment completed by </w:t>
      </w:r>
      <w:r w:rsidR="008A7211">
        <w:rPr>
          <w:rFonts w:asciiTheme="majorBidi" w:hAnsiTheme="majorBidi" w:cstheme="majorBidi"/>
          <w:lang w:val="en-US"/>
        </w:rPr>
        <w:t>Alan Gerber</w:t>
      </w:r>
      <w:r w:rsidRPr="008A7211">
        <w:rPr>
          <w:rFonts w:asciiTheme="majorBidi" w:hAnsiTheme="majorBidi" w:cstheme="majorBidi"/>
          <w:lang w:val="en-US"/>
        </w:rPr>
        <w:t xml:space="preserve"> </w:t>
      </w:r>
      <w:r w:rsidR="00D429EB">
        <w:rPr>
          <w:rFonts w:asciiTheme="majorBidi" w:hAnsiTheme="majorBidi" w:cstheme="majorBidi"/>
          <w:lang w:val="en-US"/>
        </w:rPr>
        <w:t>et al.</w:t>
      </w:r>
      <w:r w:rsidRPr="008A7211">
        <w:rPr>
          <w:rFonts w:asciiTheme="majorBidi" w:hAnsiTheme="majorBidi" w:cstheme="majorBidi"/>
          <w:lang w:val="en-US"/>
        </w:rPr>
        <w:t xml:space="preserve">, ex-felons in states where they are enfranchised </w:t>
      </w:r>
      <w:r w:rsidR="00D429EB">
        <w:rPr>
          <w:rFonts w:asciiTheme="majorBidi" w:hAnsiTheme="majorBidi" w:cstheme="majorBidi"/>
          <w:lang w:val="en-US"/>
        </w:rPr>
        <w:t>are</w:t>
      </w:r>
      <w:r w:rsidRPr="008A7211">
        <w:rPr>
          <w:rFonts w:asciiTheme="majorBidi" w:hAnsiTheme="majorBidi" w:cstheme="majorBidi"/>
          <w:lang w:val="en-US"/>
        </w:rPr>
        <w:t xml:space="preserve"> highly responsive to notification letters confirming that they </w:t>
      </w:r>
      <w:r w:rsidR="00D429EB">
        <w:rPr>
          <w:rFonts w:asciiTheme="majorBidi" w:hAnsiTheme="majorBidi" w:cstheme="majorBidi"/>
          <w:lang w:val="en-US"/>
        </w:rPr>
        <w:t>can vote legally</w:t>
      </w:r>
      <w:r w:rsidRPr="008A7211">
        <w:rPr>
          <w:rFonts w:asciiTheme="majorBidi" w:hAnsiTheme="majorBidi" w:cstheme="majorBidi"/>
          <w:lang w:val="en-US"/>
        </w:rPr>
        <w:t>. The experiment, conducted in Connecticut</w:t>
      </w:r>
      <w:r w:rsidR="001C7C59" w:rsidRPr="008A7211">
        <w:rPr>
          <w:rFonts w:asciiTheme="majorBidi" w:hAnsiTheme="majorBidi" w:cstheme="majorBidi"/>
          <w:lang w:val="en-US"/>
        </w:rPr>
        <w:t xml:space="preserve">, involved </w:t>
      </w:r>
      <w:r w:rsidR="00D429EB">
        <w:rPr>
          <w:rFonts w:asciiTheme="majorBidi" w:hAnsiTheme="majorBidi" w:cstheme="majorBidi"/>
          <w:lang w:val="en-US"/>
        </w:rPr>
        <w:t>a control group that</w:t>
      </w:r>
      <w:r w:rsidR="001C7C59" w:rsidRPr="008A7211">
        <w:rPr>
          <w:rFonts w:asciiTheme="majorBidi" w:hAnsiTheme="majorBidi" w:cstheme="majorBidi"/>
          <w:lang w:val="en-US"/>
        </w:rPr>
        <w:t xml:space="preserve"> did not receive the notification letter and</w:t>
      </w:r>
      <w:r w:rsidR="00D429EB">
        <w:rPr>
          <w:rFonts w:asciiTheme="majorBidi" w:hAnsiTheme="majorBidi" w:cstheme="majorBidi"/>
          <w:lang w:val="en-US"/>
        </w:rPr>
        <w:t xml:space="preserve"> </w:t>
      </w:r>
      <w:r w:rsidR="001C7C59" w:rsidRPr="008A7211">
        <w:rPr>
          <w:rFonts w:asciiTheme="majorBidi" w:hAnsiTheme="majorBidi" w:cstheme="majorBidi"/>
          <w:lang w:val="en-US"/>
        </w:rPr>
        <w:t>two treatment groups. The first treatment group received a generic notification letter that could have been addressed to any enfranchised person</w:t>
      </w:r>
      <w:r w:rsidR="00D429EB">
        <w:rPr>
          <w:rFonts w:asciiTheme="majorBidi" w:hAnsiTheme="majorBidi" w:cstheme="majorBidi"/>
          <w:lang w:val="en-US"/>
        </w:rPr>
        <w:t>,</w:t>
      </w:r>
      <w:r w:rsidR="001C7C59" w:rsidRPr="008A7211">
        <w:rPr>
          <w:rFonts w:asciiTheme="majorBidi" w:hAnsiTheme="majorBidi" w:cstheme="majorBidi"/>
          <w:lang w:val="en-US"/>
        </w:rPr>
        <w:t xml:space="preserve"> while the second treatment group received a notification letter that addressed the receiver that their ‘past’ would not negatively impact their ability to vote. Note that neither letter specifically refers to imprisonment to ensure </w:t>
      </w:r>
      <w:r w:rsidR="00D429EB">
        <w:rPr>
          <w:rFonts w:asciiTheme="majorBidi" w:hAnsiTheme="majorBidi" w:cstheme="majorBidi"/>
          <w:lang w:val="en-US"/>
        </w:rPr>
        <w:t>the recipient's privacy</w:t>
      </w:r>
      <w:r w:rsidR="001C7C59" w:rsidRPr="008A7211">
        <w:rPr>
          <w:rFonts w:asciiTheme="majorBidi" w:hAnsiTheme="majorBidi" w:cstheme="majorBidi"/>
          <w:lang w:val="en-US"/>
        </w:rPr>
        <w:t xml:space="preserve"> in case </w:t>
      </w:r>
      <w:r w:rsidR="00D429EB">
        <w:rPr>
          <w:rFonts w:asciiTheme="majorBidi" w:hAnsiTheme="majorBidi" w:cstheme="majorBidi"/>
          <w:lang w:val="en-US"/>
        </w:rPr>
        <w:t>an unintended receiver opens the letter</w:t>
      </w:r>
      <w:r w:rsidR="001C7C59" w:rsidRPr="008A7211">
        <w:rPr>
          <w:rFonts w:asciiTheme="majorBidi" w:hAnsiTheme="majorBidi" w:cstheme="majorBidi"/>
          <w:lang w:val="en-US"/>
        </w:rPr>
        <w:t xml:space="preserve">. </w:t>
      </w:r>
      <w:r w:rsidR="007B1D18" w:rsidRPr="00FD426B">
        <w:rPr>
          <w:rFonts w:asciiTheme="majorBidi" w:hAnsiTheme="majorBidi" w:cstheme="majorBidi"/>
          <w:u w:val="single"/>
          <w:lang w:val="en-US"/>
        </w:rPr>
        <w:t xml:space="preserve">The study found an increase </w:t>
      </w:r>
      <w:r w:rsidR="00D429EB" w:rsidRPr="00FD426B">
        <w:rPr>
          <w:rFonts w:asciiTheme="majorBidi" w:hAnsiTheme="majorBidi" w:cstheme="majorBidi"/>
          <w:u w:val="single"/>
          <w:lang w:val="en-US"/>
        </w:rPr>
        <w:t>in</w:t>
      </w:r>
      <w:r w:rsidR="007B1D18" w:rsidRPr="00FD426B">
        <w:rPr>
          <w:rFonts w:asciiTheme="majorBidi" w:hAnsiTheme="majorBidi" w:cstheme="majorBidi"/>
          <w:u w:val="single"/>
          <w:lang w:val="en-US"/>
        </w:rPr>
        <w:t xml:space="preserve"> voting in both the treatment groups combined by 1.8%. While this may seem small, when we scale this figure to the entire population, registration increased from 66% to 84%.</w:t>
      </w:r>
      <w:r w:rsidR="007B1D18" w:rsidRPr="008A7211">
        <w:rPr>
          <w:rFonts w:asciiTheme="majorBidi" w:hAnsiTheme="majorBidi" w:cstheme="majorBidi"/>
          <w:lang w:val="en-US"/>
        </w:rPr>
        <w:t xml:space="preserve"> There is little difference between the two treatments.</w:t>
      </w:r>
      <w:r w:rsidR="007B1D18" w:rsidRPr="008A7211">
        <w:rPr>
          <w:rStyle w:val="FootnoteReference"/>
          <w:rFonts w:asciiTheme="majorBidi" w:hAnsiTheme="majorBidi" w:cstheme="majorBidi"/>
          <w:lang w:val="en-US"/>
        </w:rPr>
        <w:footnoteReference w:id="8"/>
      </w:r>
      <w:r w:rsidR="007B1D18" w:rsidRPr="008A7211">
        <w:rPr>
          <w:rFonts w:asciiTheme="majorBidi" w:hAnsiTheme="majorBidi" w:cstheme="majorBidi"/>
          <w:lang w:val="en-US"/>
        </w:rPr>
        <w:t xml:space="preserve"> The effect of these letters </w:t>
      </w:r>
      <w:r w:rsidR="00D429EB" w:rsidRPr="008A7211">
        <w:rPr>
          <w:rFonts w:asciiTheme="majorBidi" w:hAnsiTheme="majorBidi" w:cstheme="majorBidi"/>
          <w:lang w:val="en-US"/>
        </w:rPr>
        <w:t>is</w:t>
      </w:r>
      <w:r w:rsidR="007B1D18" w:rsidRPr="008A7211">
        <w:rPr>
          <w:rFonts w:asciiTheme="majorBidi" w:hAnsiTheme="majorBidi" w:cstheme="majorBidi"/>
          <w:lang w:val="en-US"/>
        </w:rPr>
        <w:t xml:space="preserve"> particularly strong amongst people who voted before facing imprisonment.</w:t>
      </w:r>
      <w:r w:rsidR="007B1D18" w:rsidRPr="008A7211">
        <w:rPr>
          <w:rStyle w:val="FootnoteReference"/>
          <w:rFonts w:asciiTheme="majorBidi" w:hAnsiTheme="majorBidi" w:cstheme="majorBidi"/>
          <w:lang w:val="en-US"/>
        </w:rPr>
        <w:footnoteReference w:id="9"/>
      </w:r>
      <w:r w:rsidR="007B1D18" w:rsidRPr="008A7211">
        <w:rPr>
          <w:rFonts w:asciiTheme="majorBidi" w:hAnsiTheme="majorBidi" w:cstheme="majorBidi"/>
          <w:lang w:val="en-US"/>
        </w:rPr>
        <w:t xml:space="preserve">  </w:t>
      </w:r>
      <w:r w:rsidR="00BD65C7" w:rsidRPr="008A7211">
        <w:rPr>
          <w:rFonts w:asciiTheme="majorBidi" w:hAnsiTheme="majorBidi" w:cstheme="majorBidi"/>
          <w:lang w:val="en-US"/>
        </w:rPr>
        <w:t xml:space="preserve">Hence, </w:t>
      </w:r>
      <w:r w:rsidR="00BD65C7" w:rsidRPr="00D429EB">
        <w:rPr>
          <w:rFonts w:asciiTheme="majorBidi" w:hAnsiTheme="majorBidi" w:cstheme="majorBidi"/>
          <w:u w:val="single"/>
          <w:lang w:val="en-US"/>
        </w:rPr>
        <w:t>I recommend that alongside enfranchising ex-felons</w:t>
      </w:r>
      <w:r w:rsidR="00D429EB">
        <w:rPr>
          <w:rFonts w:asciiTheme="majorBidi" w:hAnsiTheme="majorBidi" w:cstheme="majorBidi"/>
          <w:u w:val="single"/>
          <w:lang w:val="en-US"/>
        </w:rPr>
        <w:t xml:space="preserve"> through federal law</w:t>
      </w:r>
      <w:r w:rsidR="00BD65C7" w:rsidRPr="00D429EB">
        <w:rPr>
          <w:rFonts w:asciiTheme="majorBidi" w:hAnsiTheme="majorBidi" w:cstheme="majorBidi"/>
          <w:u w:val="single"/>
          <w:lang w:val="en-US"/>
        </w:rPr>
        <w:t xml:space="preserve">, notification letters reiterating the right to vote would strengthen such </w:t>
      </w:r>
      <w:r w:rsidR="00D429EB">
        <w:rPr>
          <w:rFonts w:asciiTheme="majorBidi" w:hAnsiTheme="majorBidi" w:cstheme="majorBidi"/>
          <w:u w:val="single"/>
          <w:lang w:val="en-US"/>
        </w:rPr>
        <w:t xml:space="preserve">federal </w:t>
      </w:r>
      <w:r w:rsidR="00BD65C7" w:rsidRPr="00D429EB">
        <w:rPr>
          <w:rFonts w:asciiTheme="majorBidi" w:hAnsiTheme="majorBidi" w:cstheme="majorBidi"/>
          <w:u w:val="single"/>
          <w:lang w:val="en-US"/>
        </w:rPr>
        <w:t xml:space="preserve">ex-felon enfranchisement legislation. </w:t>
      </w:r>
    </w:p>
    <w:p w14:paraId="562B07B5" w14:textId="1C9BE992" w:rsidR="007B1D18" w:rsidRPr="008A7211" w:rsidRDefault="007B1D18" w:rsidP="007B1D18">
      <w:pPr>
        <w:rPr>
          <w:rFonts w:asciiTheme="majorBidi" w:hAnsiTheme="majorBidi" w:cstheme="majorBidi"/>
          <w:lang w:val="en-US"/>
        </w:rPr>
      </w:pPr>
    </w:p>
    <w:p w14:paraId="245C40A3" w14:textId="4551CB3F" w:rsidR="007B1D18" w:rsidRPr="008A7211" w:rsidRDefault="00BD65C7" w:rsidP="007B1D18">
      <w:pPr>
        <w:rPr>
          <w:rFonts w:asciiTheme="majorBidi" w:hAnsiTheme="majorBidi" w:cstheme="majorBidi"/>
          <w:b/>
          <w:bCs/>
          <w:lang w:val="en-US"/>
        </w:rPr>
      </w:pPr>
      <w:r w:rsidRPr="008A7211">
        <w:rPr>
          <w:rFonts w:asciiTheme="majorBidi" w:hAnsiTheme="majorBidi" w:cstheme="majorBidi"/>
          <w:b/>
          <w:bCs/>
          <w:lang w:val="en-US"/>
        </w:rPr>
        <w:t>Conclusion</w:t>
      </w:r>
    </w:p>
    <w:p w14:paraId="0D00AC22" w14:textId="6DD84A73" w:rsidR="008A7211" w:rsidRDefault="008A7211" w:rsidP="007B1D18">
      <w:pPr>
        <w:rPr>
          <w:lang w:val="en-US"/>
        </w:rPr>
      </w:pPr>
    </w:p>
    <w:p w14:paraId="6D570CBE" w14:textId="1F5E9C35" w:rsidR="008A7211" w:rsidRDefault="00D429EB" w:rsidP="007B1D18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Federal legislation can help ensure that the political system truly accounts for the voices of historically disadvantaged communities. Ex-felon disenfranchisement is simply one method of disenfranchisement in the long history of voting in the United States that disproportionally affected African Americans. Rectifying this oversight would ensure a more democratic United States.</w:t>
      </w:r>
    </w:p>
    <w:p w14:paraId="262EBDF9" w14:textId="77777777" w:rsidR="00D429EB" w:rsidRPr="00D429EB" w:rsidRDefault="00D429EB" w:rsidP="007B1D18">
      <w:pPr>
        <w:rPr>
          <w:rFonts w:asciiTheme="majorBidi" w:hAnsiTheme="majorBidi" w:cstheme="majorBidi"/>
          <w:lang w:val="en-US"/>
        </w:rPr>
      </w:pPr>
    </w:p>
    <w:p w14:paraId="19122AAD" w14:textId="565348E6" w:rsidR="00D429EB" w:rsidRDefault="00D429EB" w:rsidP="00D429EB">
      <w:pPr>
        <w:spacing w:line="480" w:lineRule="auto"/>
        <w:rPr>
          <w:rFonts w:ascii="Times New Roman" w:eastAsia="Times New Roman" w:hAnsi="Times New Roman" w:cs="Times New Roman"/>
          <w:color w:val="000000"/>
        </w:rPr>
      </w:pPr>
    </w:p>
    <w:p w14:paraId="542072CD" w14:textId="7BE0F4BE" w:rsidR="00E31552" w:rsidRDefault="00E31552" w:rsidP="00D429EB">
      <w:pPr>
        <w:spacing w:line="480" w:lineRule="auto"/>
        <w:rPr>
          <w:rFonts w:ascii="Times New Roman" w:eastAsia="Times New Roman" w:hAnsi="Times New Roman" w:cs="Times New Roman"/>
          <w:color w:val="000000"/>
        </w:rPr>
      </w:pPr>
    </w:p>
    <w:p w14:paraId="001A07CD" w14:textId="01A9F0CF" w:rsidR="00E31552" w:rsidRDefault="00E31552" w:rsidP="00D429EB">
      <w:pPr>
        <w:spacing w:line="480" w:lineRule="auto"/>
        <w:rPr>
          <w:rFonts w:ascii="Times New Roman" w:eastAsia="Times New Roman" w:hAnsi="Times New Roman" w:cs="Times New Roman"/>
          <w:color w:val="000000"/>
        </w:rPr>
      </w:pPr>
    </w:p>
    <w:p w14:paraId="6F87E48E" w14:textId="4B57FC01" w:rsidR="00E31552" w:rsidRDefault="00E31552" w:rsidP="00D429EB">
      <w:pPr>
        <w:spacing w:line="480" w:lineRule="auto"/>
        <w:rPr>
          <w:rFonts w:ascii="Times New Roman" w:eastAsia="Times New Roman" w:hAnsi="Times New Roman" w:cs="Times New Roman"/>
          <w:color w:val="000000"/>
        </w:rPr>
      </w:pPr>
    </w:p>
    <w:p w14:paraId="096B9E7D" w14:textId="00ABD903" w:rsidR="00E31552" w:rsidRDefault="00E31552" w:rsidP="00D429EB">
      <w:pPr>
        <w:spacing w:line="480" w:lineRule="auto"/>
        <w:rPr>
          <w:rFonts w:ascii="Times New Roman" w:eastAsia="Times New Roman" w:hAnsi="Times New Roman" w:cs="Times New Roman"/>
          <w:color w:val="000000"/>
        </w:rPr>
      </w:pPr>
    </w:p>
    <w:p w14:paraId="5BB0F306" w14:textId="2E680A18" w:rsidR="00E31552" w:rsidRDefault="00E31552" w:rsidP="00D429EB">
      <w:pPr>
        <w:spacing w:line="480" w:lineRule="auto"/>
        <w:rPr>
          <w:rFonts w:ascii="Times New Roman" w:eastAsia="Times New Roman" w:hAnsi="Times New Roman" w:cs="Times New Roman"/>
          <w:color w:val="000000"/>
        </w:rPr>
      </w:pPr>
    </w:p>
    <w:p w14:paraId="685802A6" w14:textId="136A8288" w:rsidR="00E31552" w:rsidRDefault="00E31552" w:rsidP="00D429EB">
      <w:pPr>
        <w:spacing w:line="480" w:lineRule="auto"/>
        <w:rPr>
          <w:rFonts w:ascii="Times New Roman" w:eastAsia="Times New Roman" w:hAnsi="Times New Roman" w:cs="Times New Roman"/>
          <w:color w:val="000000"/>
        </w:rPr>
      </w:pPr>
    </w:p>
    <w:p w14:paraId="781E6848" w14:textId="419379EF" w:rsidR="00E31552" w:rsidRDefault="00E31552" w:rsidP="00D429EB">
      <w:pPr>
        <w:spacing w:line="480" w:lineRule="auto"/>
        <w:rPr>
          <w:rFonts w:ascii="Times New Roman" w:eastAsia="Times New Roman" w:hAnsi="Times New Roman" w:cs="Times New Roman"/>
          <w:color w:val="000000"/>
        </w:rPr>
      </w:pPr>
    </w:p>
    <w:p w14:paraId="51B98F54" w14:textId="77777777" w:rsidR="00E31552" w:rsidRDefault="00E31552" w:rsidP="00D429EB">
      <w:pPr>
        <w:spacing w:line="480" w:lineRule="auto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</w:p>
    <w:p w14:paraId="2333C312" w14:textId="77777777" w:rsidR="00D429EB" w:rsidRDefault="00D429EB" w:rsidP="00D429EB">
      <w:pPr>
        <w:spacing w:line="480" w:lineRule="auto"/>
        <w:rPr>
          <w:rFonts w:ascii="Times New Roman" w:eastAsia="Times New Roman" w:hAnsi="Times New Roman" w:cs="Times New Roman"/>
          <w:color w:val="000000"/>
        </w:rPr>
      </w:pPr>
    </w:p>
    <w:p w14:paraId="2539F864" w14:textId="77777777" w:rsidR="00D429EB" w:rsidRDefault="00D429EB" w:rsidP="008A7211">
      <w:pPr>
        <w:spacing w:line="48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0630137A" w14:textId="68FBF6DA" w:rsidR="008A7211" w:rsidRDefault="008A7211" w:rsidP="008A7211">
      <w:pPr>
        <w:spacing w:line="480" w:lineRule="auto"/>
        <w:jc w:val="center"/>
      </w:pPr>
      <w:r>
        <w:rPr>
          <w:rFonts w:ascii="Times New Roman" w:eastAsia="Times New Roman" w:hAnsi="Times New Roman" w:cs="Times New Roman"/>
          <w:color w:val="000000"/>
        </w:rPr>
        <w:t>Bibliography</w:t>
      </w:r>
    </w:p>
    <w:p w14:paraId="7D67EBEF" w14:textId="77777777" w:rsidR="008A7211" w:rsidRDefault="008A7211" w:rsidP="008A7211">
      <w:pPr>
        <w:pStyle w:val="custom-paragraph"/>
        <w:ind w:left="72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Burch, Traci R. "Effects of Imprisonment and Community Supervision on Neighborhood Political Participation in North Carolina."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 Annals of the American Academy of Political and Social Science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651 (2014): 184-201. http://www.jstor.org/stable/24541701.</w:t>
      </w:r>
    </w:p>
    <w:p w14:paraId="16D32E02" w14:textId="77777777" w:rsidR="008A7211" w:rsidRDefault="008A7211" w:rsidP="008A7211">
      <w:pPr>
        <w:ind w:left="720" w:firstLine="15"/>
      </w:pPr>
    </w:p>
    <w:p w14:paraId="3E98B1B5" w14:textId="77777777" w:rsidR="008A7211" w:rsidRDefault="008A7211" w:rsidP="008A7211">
      <w:pPr>
        <w:pStyle w:val="custom-paragraph"/>
        <w:ind w:left="72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Davis, Charles R. "Republicans and majority of Democrats vote to keep incarcerated people from participating in elections."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Insider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March 2, 2021. Accessed July 31, 2022. https://www.businessinsider.com/congress-votes-to-deny-incarcerated-people-right-participate-elections-2021-3.</w:t>
      </w:r>
    </w:p>
    <w:p w14:paraId="02E64253" w14:textId="77777777" w:rsidR="008A7211" w:rsidRDefault="008A7211" w:rsidP="008A7211">
      <w:pPr>
        <w:ind w:left="720" w:firstLine="15"/>
      </w:pPr>
    </w:p>
    <w:p w14:paraId="568B2E43" w14:textId="77777777" w:rsidR="008A7211" w:rsidRDefault="008A7211" w:rsidP="008A7211">
      <w:pPr>
        <w:pStyle w:val="custom-paragraph"/>
        <w:ind w:left="72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Gerber, Alan S., Gregory A. Huber, Marc Meredith, Daniel R. Biggers, and David J. Hendry. "Can Incarcerated Felons Be (Re)integrated into the Political System? Results from a Field Experiment."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American Journal of Political Science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59, no. 4 (2015): 912-26. http://www.jstor.org/stable/24582956.</w:t>
      </w:r>
    </w:p>
    <w:p w14:paraId="347A9E74" w14:textId="77777777" w:rsidR="008A7211" w:rsidRDefault="008A7211" w:rsidP="008A7211">
      <w:pPr>
        <w:ind w:left="720" w:firstLine="15"/>
      </w:pPr>
    </w:p>
    <w:p w14:paraId="5F1D9803" w14:textId="77777777" w:rsidR="008A7211" w:rsidRDefault="008A7211" w:rsidP="008A7211">
      <w:pPr>
        <w:pStyle w:val="custom-paragraph"/>
        <w:ind w:left="72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Goldman, Daniel S. "The Modern-Day Literacy Test?: Felon Disenfranchisement and Race Discrimination."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Stanford Law Review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57, no. 2 (2004): 611-55. http://www.jstor.org/stable/40040212.</w:t>
      </w:r>
    </w:p>
    <w:p w14:paraId="0D5D9D0F" w14:textId="77777777" w:rsidR="008A7211" w:rsidRDefault="008A7211" w:rsidP="008A7211">
      <w:pPr>
        <w:ind w:left="720" w:firstLine="15"/>
      </w:pPr>
    </w:p>
    <w:p w14:paraId="5B5F067D" w14:textId="77777777" w:rsidR="008A7211" w:rsidRDefault="008A7211" w:rsidP="008A7211">
      <w:pPr>
        <w:pStyle w:val="custom-paragraph"/>
        <w:ind w:left="72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Harvey, Alice E. "Ex-Felon Disenfranchisement and Its Influence on the Black Vote: The Need for a Second Look."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University of Pennsylvania Law Review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142, no. 3 (1994): 1145-89. https://doi.org/10.2307/3312504.</w:t>
      </w:r>
    </w:p>
    <w:p w14:paraId="6788D288" w14:textId="77777777" w:rsidR="008A7211" w:rsidRDefault="008A7211" w:rsidP="008A7211">
      <w:pPr>
        <w:ind w:left="720" w:firstLine="15"/>
      </w:pPr>
    </w:p>
    <w:p w14:paraId="0701A58B" w14:textId="77777777" w:rsidR="008A7211" w:rsidRDefault="008A7211" w:rsidP="008A7211">
      <w:pPr>
        <w:pStyle w:val="custom-paragraph"/>
        <w:ind w:left="72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Mauer, Marc. "Felon Voting Disenfranchisement: A Growing Collateral Consequence of Mass Incarceration."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Federal Sentencing Reporter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12, no. 5 (2000): 248-51. https://doi.org/10.2307/20640279.</w:t>
      </w:r>
    </w:p>
    <w:p w14:paraId="65387BD1" w14:textId="77777777" w:rsidR="008A7211" w:rsidRDefault="008A7211" w:rsidP="008A7211">
      <w:pPr>
        <w:ind w:left="720" w:firstLine="15"/>
      </w:pPr>
    </w:p>
    <w:p w14:paraId="59B169AE" w14:textId="77777777" w:rsidR="008A7211" w:rsidRPr="00EA59A4" w:rsidRDefault="008A7211" w:rsidP="007B1D18">
      <w:pPr>
        <w:rPr>
          <w:lang w:val="en-US"/>
        </w:rPr>
      </w:pPr>
    </w:p>
    <w:sectPr w:rsidR="008A7211" w:rsidRPr="00EA59A4" w:rsidSect="00D429EB">
      <w:pgSz w:w="11900" w:h="16840"/>
      <w:pgMar w:top="131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A8FA6" w14:textId="77777777" w:rsidR="00EB1453" w:rsidRDefault="00EB1453" w:rsidP="00D20102">
      <w:r>
        <w:separator/>
      </w:r>
    </w:p>
  </w:endnote>
  <w:endnote w:type="continuationSeparator" w:id="0">
    <w:p w14:paraId="7DCA6BF7" w14:textId="77777777" w:rsidR="00EB1453" w:rsidRDefault="00EB1453" w:rsidP="00D2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67B1D" w14:textId="77777777" w:rsidR="00EB1453" w:rsidRDefault="00EB1453" w:rsidP="00D20102">
      <w:r>
        <w:separator/>
      </w:r>
    </w:p>
  </w:footnote>
  <w:footnote w:type="continuationSeparator" w:id="0">
    <w:p w14:paraId="39301B1F" w14:textId="77777777" w:rsidR="00EB1453" w:rsidRDefault="00EB1453" w:rsidP="00D20102">
      <w:r>
        <w:continuationSeparator/>
      </w:r>
    </w:p>
  </w:footnote>
  <w:footnote w:id="1">
    <w:p w14:paraId="0306F8A3" w14:textId="70D46516" w:rsidR="008A7211" w:rsidRPr="008A7211" w:rsidRDefault="008A7211" w:rsidP="008A7211">
      <w:pPr>
        <w:pStyle w:val="FootnoteText"/>
        <w:rPr>
          <w:rFonts w:asciiTheme="majorBidi" w:hAnsiTheme="majorBidi" w:cstheme="majorBidi"/>
        </w:rPr>
      </w:pPr>
      <w:r w:rsidRPr="008A7211">
        <w:rPr>
          <w:rStyle w:val="FootnoteReference"/>
          <w:rFonts w:asciiTheme="majorBidi" w:hAnsiTheme="majorBidi" w:cstheme="majorBidi"/>
        </w:rPr>
        <w:footnoteRef/>
      </w:r>
      <w:r w:rsidRPr="008A7211">
        <w:rPr>
          <w:rFonts w:asciiTheme="majorBidi" w:hAnsiTheme="majorBidi" w:cstheme="majorBidi"/>
        </w:rPr>
        <w:t xml:space="preserve"> Daniel S. Goldman, "The Modern-Day Literacy Test?: Felon Disenfranchisement and Race Discrimination," </w:t>
      </w:r>
      <w:r w:rsidRPr="008A7211">
        <w:rPr>
          <w:rFonts w:asciiTheme="majorBidi" w:hAnsiTheme="majorBidi" w:cstheme="majorBidi"/>
          <w:i/>
          <w:iCs/>
        </w:rPr>
        <w:t>Stanford Law Review</w:t>
      </w:r>
      <w:r w:rsidRPr="008A7211">
        <w:rPr>
          <w:rFonts w:asciiTheme="majorBidi" w:hAnsiTheme="majorBidi" w:cstheme="majorBidi"/>
        </w:rPr>
        <w:t> 57, no. 2 (2004): </w:t>
      </w:r>
      <w:r w:rsidRPr="008A7211">
        <w:rPr>
          <w:rFonts w:asciiTheme="majorBidi" w:hAnsiTheme="majorBidi" w:cstheme="majorBidi"/>
          <w:lang w:val="en-US"/>
        </w:rPr>
        <w:t>612-618</w:t>
      </w:r>
    </w:p>
  </w:footnote>
  <w:footnote w:id="2">
    <w:p w14:paraId="4888DA7B" w14:textId="23554407" w:rsidR="00D20102" w:rsidRPr="008A7211" w:rsidRDefault="00D20102" w:rsidP="008A7211">
      <w:pPr>
        <w:pStyle w:val="FootnoteText"/>
        <w:rPr>
          <w:rFonts w:asciiTheme="majorBidi" w:hAnsiTheme="majorBidi" w:cstheme="majorBidi"/>
        </w:rPr>
      </w:pPr>
      <w:r w:rsidRPr="008A7211">
        <w:rPr>
          <w:rStyle w:val="FootnoteReference"/>
          <w:rFonts w:asciiTheme="majorBidi" w:hAnsiTheme="majorBidi" w:cstheme="majorBidi"/>
        </w:rPr>
        <w:footnoteRef/>
      </w:r>
      <w:r w:rsidRPr="008A7211">
        <w:rPr>
          <w:rFonts w:asciiTheme="majorBidi" w:hAnsiTheme="majorBidi" w:cstheme="majorBidi"/>
        </w:rPr>
        <w:t xml:space="preserve"> </w:t>
      </w:r>
      <w:r w:rsidR="008A7211" w:rsidRPr="008A7211">
        <w:rPr>
          <w:rFonts w:asciiTheme="majorBidi" w:hAnsiTheme="majorBidi" w:cstheme="majorBidi"/>
        </w:rPr>
        <w:t>Goldman, "The Modern-Day,"</w:t>
      </w:r>
      <w:r w:rsidR="008A7211">
        <w:rPr>
          <w:rFonts w:asciiTheme="majorBidi" w:hAnsiTheme="majorBidi" w:cstheme="majorBidi"/>
        </w:rPr>
        <w:t xml:space="preserve"> </w:t>
      </w:r>
      <w:r w:rsidRPr="008A7211">
        <w:rPr>
          <w:rFonts w:asciiTheme="majorBidi" w:hAnsiTheme="majorBidi" w:cstheme="majorBidi"/>
          <w:lang w:val="en-US"/>
        </w:rPr>
        <w:t>628.</w:t>
      </w:r>
    </w:p>
  </w:footnote>
  <w:footnote w:id="3">
    <w:p w14:paraId="0AB219B6" w14:textId="6A3BC0C0" w:rsidR="008A7211" w:rsidRPr="008A7211" w:rsidRDefault="008A7211" w:rsidP="008A7211">
      <w:pPr>
        <w:pStyle w:val="FootnoteText"/>
        <w:rPr>
          <w:rFonts w:asciiTheme="majorBidi" w:hAnsiTheme="majorBidi" w:cstheme="majorBidi"/>
          <w:lang w:val="en-US"/>
        </w:rPr>
      </w:pPr>
      <w:r w:rsidRPr="008A7211">
        <w:rPr>
          <w:rStyle w:val="FootnoteReference"/>
          <w:rFonts w:asciiTheme="majorBidi" w:hAnsiTheme="majorBidi" w:cstheme="majorBidi"/>
        </w:rPr>
        <w:footnoteRef/>
      </w:r>
      <w:r w:rsidRPr="008A7211">
        <w:rPr>
          <w:rFonts w:asciiTheme="majorBidi" w:hAnsiTheme="majorBidi" w:cstheme="majorBidi"/>
        </w:rPr>
        <w:t xml:space="preserve"> Goldman, "The Modern-Day,"</w:t>
      </w:r>
      <w:r>
        <w:rPr>
          <w:rFonts w:asciiTheme="majorBidi" w:hAnsiTheme="majorBidi" w:cstheme="majorBidi"/>
        </w:rPr>
        <w:t xml:space="preserve"> </w:t>
      </w:r>
      <w:r w:rsidRPr="008A7211">
        <w:rPr>
          <w:rFonts w:asciiTheme="majorBidi" w:hAnsiTheme="majorBidi" w:cstheme="majorBidi"/>
          <w:lang w:val="en-US"/>
        </w:rPr>
        <w:t>630-634</w:t>
      </w:r>
    </w:p>
  </w:footnote>
  <w:footnote w:id="4">
    <w:p w14:paraId="2335B07D" w14:textId="7E28B0E6" w:rsidR="009A455E" w:rsidRPr="008A7211" w:rsidRDefault="009A455E" w:rsidP="008A7211">
      <w:pPr>
        <w:pStyle w:val="FootnoteText"/>
        <w:rPr>
          <w:rFonts w:asciiTheme="majorBidi" w:hAnsiTheme="majorBidi" w:cstheme="majorBidi"/>
        </w:rPr>
      </w:pPr>
      <w:r w:rsidRPr="008A7211">
        <w:rPr>
          <w:rStyle w:val="FootnoteReference"/>
          <w:rFonts w:asciiTheme="majorBidi" w:hAnsiTheme="majorBidi" w:cstheme="majorBidi"/>
        </w:rPr>
        <w:footnoteRef/>
      </w:r>
      <w:r w:rsidRPr="008A7211">
        <w:rPr>
          <w:rFonts w:asciiTheme="majorBidi" w:hAnsiTheme="majorBidi" w:cstheme="majorBidi"/>
        </w:rPr>
        <w:t xml:space="preserve"> </w:t>
      </w:r>
      <w:r w:rsidR="008A7211" w:rsidRPr="008A7211">
        <w:rPr>
          <w:rFonts w:asciiTheme="majorBidi" w:hAnsiTheme="majorBidi" w:cstheme="majorBidi"/>
        </w:rPr>
        <w:t>Alice E. Harvey, "Ex-Felon Disenfranchisement and Its Influence on the Black Vote: The Need for a Second Look," </w:t>
      </w:r>
      <w:r w:rsidR="008A7211" w:rsidRPr="008A7211">
        <w:rPr>
          <w:rFonts w:asciiTheme="majorBidi" w:hAnsiTheme="majorBidi" w:cstheme="majorBidi"/>
          <w:i/>
          <w:iCs/>
        </w:rPr>
        <w:t>University of Pennsylvania Law Review</w:t>
      </w:r>
      <w:r w:rsidR="008A7211" w:rsidRPr="008A7211">
        <w:rPr>
          <w:rFonts w:asciiTheme="majorBidi" w:hAnsiTheme="majorBidi" w:cstheme="majorBidi"/>
        </w:rPr>
        <w:t> 142, no. 3 (1994): </w:t>
      </w:r>
      <w:r w:rsidR="008A7211" w:rsidRPr="008A7211">
        <w:rPr>
          <w:rFonts w:asciiTheme="majorBidi" w:hAnsiTheme="majorBidi" w:cstheme="majorBidi"/>
          <w:lang w:val="en-US"/>
        </w:rPr>
        <w:t>1181-1184</w:t>
      </w:r>
    </w:p>
  </w:footnote>
  <w:footnote w:id="5">
    <w:p w14:paraId="111647CE" w14:textId="4BEE20FA" w:rsidR="00626064" w:rsidRPr="008A7211" w:rsidRDefault="00626064" w:rsidP="00626064">
      <w:pPr>
        <w:pStyle w:val="FootnoteText"/>
        <w:rPr>
          <w:rFonts w:asciiTheme="majorBidi" w:hAnsiTheme="majorBidi" w:cstheme="majorBidi"/>
          <w:lang w:val="en-US"/>
        </w:rPr>
      </w:pPr>
      <w:r w:rsidRPr="008A7211">
        <w:rPr>
          <w:rStyle w:val="FootnoteReference"/>
          <w:rFonts w:asciiTheme="majorBidi" w:hAnsiTheme="majorBidi" w:cstheme="majorBidi"/>
        </w:rPr>
        <w:footnoteRef/>
      </w:r>
      <w:r w:rsidRPr="008A7211">
        <w:rPr>
          <w:rFonts w:asciiTheme="majorBidi" w:hAnsiTheme="majorBidi" w:cstheme="majorBidi"/>
        </w:rPr>
        <w:t xml:space="preserve"> </w:t>
      </w:r>
      <w:r w:rsidR="008A7211" w:rsidRPr="008A7211">
        <w:rPr>
          <w:rFonts w:asciiTheme="majorBidi" w:hAnsiTheme="majorBidi" w:cstheme="majorBidi"/>
        </w:rPr>
        <w:t>Goldman, "The Modern-Day,"</w:t>
      </w:r>
      <w:r w:rsidR="008A7211">
        <w:rPr>
          <w:rFonts w:asciiTheme="majorBidi" w:hAnsiTheme="majorBidi" w:cstheme="majorBidi"/>
        </w:rPr>
        <w:t xml:space="preserve"> </w:t>
      </w:r>
      <w:r w:rsidRPr="008A7211">
        <w:rPr>
          <w:rFonts w:asciiTheme="majorBidi" w:hAnsiTheme="majorBidi" w:cstheme="majorBidi"/>
          <w:lang w:val="en-US"/>
        </w:rPr>
        <w:t>634.</w:t>
      </w:r>
    </w:p>
  </w:footnote>
  <w:footnote w:id="6">
    <w:p w14:paraId="79B6A4D2" w14:textId="1FF07C9E" w:rsidR="00B86236" w:rsidRPr="008A7211" w:rsidRDefault="00B86236" w:rsidP="008A7211">
      <w:pPr>
        <w:pStyle w:val="FootnoteText"/>
        <w:rPr>
          <w:rFonts w:asciiTheme="majorBidi" w:hAnsiTheme="majorBidi" w:cstheme="majorBidi"/>
        </w:rPr>
      </w:pPr>
      <w:r w:rsidRPr="008A7211">
        <w:rPr>
          <w:rStyle w:val="FootnoteReference"/>
          <w:rFonts w:asciiTheme="majorBidi" w:hAnsiTheme="majorBidi" w:cstheme="majorBidi"/>
        </w:rPr>
        <w:footnoteRef/>
      </w:r>
      <w:r w:rsidRPr="008A7211">
        <w:rPr>
          <w:rFonts w:asciiTheme="majorBidi" w:hAnsiTheme="majorBidi" w:cstheme="majorBidi"/>
        </w:rPr>
        <w:t xml:space="preserve"> </w:t>
      </w:r>
      <w:r w:rsidR="008A7211" w:rsidRPr="008A7211">
        <w:rPr>
          <w:rFonts w:asciiTheme="majorBidi" w:hAnsiTheme="majorBidi" w:cstheme="majorBidi"/>
        </w:rPr>
        <w:t>Traci R. Burch, "Effects of Imprisonment and Community Supervision on Neighborhood Political Participation in North Carolina," </w:t>
      </w:r>
      <w:r w:rsidR="008A7211" w:rsidRPr="008A7211">
        <w:rPr>
          <w:rFonts w:asciiTheme="majorBidi" w:hAnsiTheme="majorBidi" w:cstheme="majorBidi"/>
          <w:i/>
          <w:iCs/>
        </w:rPr>
        <w:t>The Annals of the American Academy of Political and Social Science</w:t>
      </w:r>
      <w:r w:rsidR="008A7211" w:rsidRPr="008A7211">
        <w:rPr>
          <w:rFonts w:asciiTheme="majorBidi" w:hAnsiTheme="majorBidi" w:cstheme="majorBidi"/>
        </w:rPr>
        <w:t> 651 (2014): </w:t>
      </w:r>
      <w:r w:rsidR="008A7211">
        <w:rPr>
          <w:rFonts w:asciiTheme="majorBidi" w:hAnsiTheme="majorBidi" w:cstheme="majorBidi"/>
        </w:rPr>
        <w:t>196</w:t>
      </w:r>
    </w:p>
  </w:footnote>
  <w:footnote w:id="7">
    <w:p w14:paraId="567C6C6F" w14:textId="5AF90616" w:rsidR="008F4490" w:rsidRPr="008A7211" w:rsidRDefault="008F4490" w:rsidP="008A7211">
      <w:pPr>
        <w:pStyle w:val="FootnoteText"/>
        <w:rPr>
          <w:rFonts w:asciiTheme="majorBidi" w:hAnsiTheme="majorBidi" w:cstheme="majorBidi"/>
        </w:rPr>
      </w:pPr>
      <w:r w:rsidRPr="008A7211">
        <w:rPr>
          <w:rStyle w:val="FootnoteReference"/>
          <w:rFonts w:asciiTheme="majorBidi" w:hAnsiTheme="majorBidi" w:cstheme="majorBidi"/>
        </w:rPr>
        <w:footnoteRef/>
      </w:r>
      <w:r w:rsidRPr="008A7211">
        <w:rPr>
          <w:rFonts w:asciiTheme="majorBidi" w:hAnsiTheme="majorBidi" w:cstheme="majorBidi"/>
        </w:rPr>
        <w:t xml:space="preserve"> </w:t>
      </w:r>
      <w:r w:rsidR="008A7211" w:rsidRPr="008A7211">
        <w:rPr>
          <w:rFonts w:asciiTheme="majorBidi" w:hAnsiTheme="majorBidi" w:cstheme="majorBidi"/>
        </w:rPr>
        <w:t>Charles R. Davis, "Republicans and majority of Democrats vote to keep incarcerated people from participating in elections," </w:t>
      </w:r>
      <w:r w:rsidR="008A7211" w:rsidRPr="008A7211">
        <w:rPr>
          <w:rFonts w:asciiTheme="majorBidi" w:hAnsiTheme="majorBidi" w:cstheme="majorBidi"/>
          <w:i/>
          <w:iCs/>
        </w:rPr>
        <w:t>Insider</w:t>
      </w:r>
      <w:r w:rsidR="008A7211" w:rsidRPr="008A7211">
        <w:rPr>
          <w:rFonts w:asciiTheme="majorBidi" w:hAnsiTheme="majorBidi" w:cstheme="majorBidi"/>
        </w:rPr>
        <w:t>, March 2, 2021, accessed July 31, 2022</w:t>
      </w:r>
    </w:p>
  </w:footnote>
  <w:footnote w:id="8">
    <w:p w14:paraId="0056EDCD" w14:textId="6E6BA00E" w:rsidR="007B1D18" w:rsidRPr="008A7211" w:rsidRDefault="007B1D18" w:rsidP="008A7211">
      <w:pPr>
        <w:pStyle w:val="FootnoteText"/>
        <w:rPr>
          <w:rFonts w:asciiTheme="majorBidi" w:hAnsiTheme="majorBidi" w:cstheme="majorBidi"/>
        </w:rPr>
      </w:pPr>
      <w:r w:rsidRPr="008A7211">
        <w:rPr>
          <w:rStyle w:val="FootnoteReference"/>
          <w:rFonts w:asciiTheme="majorBidi" w:hAnsiTheme="majorBidi" w:cstheme="majorBidi"/>
        </w:rPr>
        <w:footnoteRef/>
      </w:r>
      <w:r w:rsidRPr="008A7211">
        <w:rPr>
          <w:rFonts w:asciiTheme="majorBidi" w:hAnsiTheme="majorBidi" w:cstheme="majorBidi"/>
        </w:rPr>
        <w:t xml:space="preserve"> </w:t>
      </w:r>
      <w:r w:rsidR="008A7211" w:rsidRPr="008A7211">
        <w:rPr>
          <w:rFonts w:asciiTheme="majorBidi" w:hAnsiTheme="majorBidi" w:cstheme="majorBidi"/>
        </w:rPr>
        <w:t>Alan S. Gerber et al., "Can Incarcerated Felons Be (Re)integrated into the Political System? Results from a Field Experiment," </w:t>
      </w:r>
      <w:r w:rsidR="008A7211" w:rsidRPr="008A7211">
        <w:rPr>
          <w:rFonts w:asciiTheme="majorBidi" w:hAnsiTheme="majorBidi" w:cstheme="majorBidi"/>
          <w:i/>
          <w:iCs/>
        </w:rPr>
        <w:t>American Journal of Political Science</w:t>
      </w:r>
      <w:r w:rsidR="008A7211" w:rsidRPr="008A7211">
        <w:rPr>
          <w:rFonts w:asciiTheme="majorBidi" w:hAnsiTheme="majorBidi" w:cstheme="majorBidi"/>
        </w:rPr>
        <w:t> 59, no. 4 (2015): </w:t>
      </w:r>
      <w:r w:rsidR="008A7211">
        <w:rPr>
          <w:rFonts w:asciiTheme="majorBidi" w:hAnsiTheme="majorBidi" w:cstheme="majorBidi"/>
        </w:rPr>
        <w:t>14-16</w:t>
      </w:r>
    </w:p>
  </w:footnote>
  <w:footnote w:id="9">
    <w:p w14:paraId="0DC72A4D" w14:textId="22AB44B4" w:rsidR="007B1D18" w:rsidRPr="008A7211" w:rsidRDefault="007B1D18" w:rsidP="008A7211">
      <w:pPr>
        <w:pStyle w:val="FootnoteText"/>
        <w:rPr>
          <w:rFonts w:asciiTheme="majorBidi" w:hAnsiTheme="majorBidi" w:cstheme="majorBidi"/>
        </w:rPr>
      </w:pPr>
      <w:r w:rsidRPr="008A7211">
        <w:rPr>
          <w:rStyle w:val="FootnoteReference"/>
          <w:rFonts w:asciiTheme="majorBidi" w:hAnsiTheme="majorBidi" w:cstheme="majorBidi"/>
        </w:rPr>
        <w:footnoteRef/>
      </w:r>
      <w:r w:rsidRPr="008A7211">
        <w:rPr>
          <w:rFonts w:asciiTheme="majorBidi" w:hAnsiTheme="majorBidi" w:cstheme="majorBidi"/>
        </w:rPr>
        <w:t xml:space="preserve"> </w:t>
      </w:r>
      <w:r w:rsidR="008A7211" w:rsidRPr="008A7211">
        <w:rPr>
          <w:rFonts w:asciiTheme="majorBidi" w:hAnsiTheme="majorBidi" w:cstheme="majorBidi"/>
        </w:rPr>
        <w:t>Gerber et al., "Can Incarcerated," </w:t>
      </w:r>
      <w:r w:rsidRPr="008A7211">
        <w:rPr>
          <w:rFonts w:asciiTheme="majorBidi" w:hAnsiTheme="majorBidi" w:cstheme="majorBidi"/>
          <w:lang w:val="en-US"/>
        </w:rPr>
        <w:t>17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9A4"/>
    <w:rsid w:val="001A3D9F"/>
    <w:rsid w:val="001C7C59"/>
    <w:rsid w:val="00281182"/>
    <w:rsid w:val="002C798F"/>
    <w:rsid w:val="003532AB"/>
    <w:rsid w:val="00481785"/>
    <w:rsid w:val="00557D98"/>
    <w:rsid w:val="00573E40"/>
    <w:rsid w:val="00626064"/>
    <w:rsid w:val="00786042"/>
    <w:rsid w:val="007B1D18"/>
    <w:rsid w:val="008A7211"/>
    <w:rsid w:val="008F4490"/>
    <w:rsid w:val="009A455E"/>
    <w:rsid w:val="009F79AF"/>
    <w:rsid w:val="00B86236"/>
    <w:rsid w:val="00BD65C7"/>
    <w:rsid w:val="00CE597B"/>
    <w:rsid w:val="00D20102"/>
    <w:rsid w:val="00D240AB"/>
    <w:rsid w:val="00D429EB"/>
    <w:rsid w:val="00E31552"/>
    <w:rsid w:val="00EA59A4"/>
    <w:rsid w:val="00EB1453"/>
    <w:rsid w:val="00F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D0303"/>
  <w15:chartTrackingRefBased/>
  <w15:docId w15:val="{ACECAE23-252B-784B-9C24-0792397E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201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010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0102"/>
    <w:rPr>
      <w:vertAlign w:val="superscript"/>
    </w:rPr>
  </w:style>
  <w:style w:type="paragraph" w:customStyle="1" w:styleId="custom-paragraph">
    <w:name w:val="custom-paragraph"/>
    <w:link w:val="custom-paragraphCar"/>
    <w:uiPriority w:val="99"/>
    <w:semiHidden/>
    <w:unhideWhenUsed/>
    <w:rsid w:val="008A7211"/>
    <w:pPr>
      <w:ind w:left="1000" w:hanging="750"/>
    </w:pPr>
    <w:rPr>
      <w:rFonts w:eastAsiaTheme="minorEastAsia"/>
      <w:sz w:val="20"/>
      <w:szCs w:val="22"/>
      <w:lang w:val="en-US"/>
    </w:rPr>
  </w:style>
  <w:style w:type="character" w:customStyle="1" w:styleId="custom-paragraphCar">
    <w:name w:val="custom-paragraphCar"/>
    <w:link w:val="custom-paragraph"/>
    <w:uiPriority w:val="99"/>
    <w:semiHidden/>
    <w:unhideWhenUsed/>
    <w:rsid w:val="008A7211"/>
    <w:rPr>
      <w:rFonts w:eastAsiaTheme="minorEastAsia"/>
      <w:sz w:val="20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B70DFF2-A793-3648-99F4-305653A655DA}">
  <we:reference id="wa200001011" version="1.2.0.0" store="en-US" storeType="OMEX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894</Words>
  <Characters>5102</Characters>
  <Application>Microsoft Office Word</Application>
  <DocSecurity>0</DocSecurity>
  <Lines>42</Lines>
  <Paragraphs>11</Paragraphs>
  <ScaleCrop>false</ScaleCrop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2026-05-05T02:56:00Z</dcterms:created>
  <dcterms:modified xsi:type="dcterms:W3CDTF">2026-05-05T02:56:00Z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documentId_6861</vt:lpwstr>
  </property>
  <property fmtid="{D5CDD505-2E9C-101B-9397-08002B2CF9AE}" pid="3" name="grammarly_documentContext">
    <vt:lpwstr>{"goals":[],"domain":"general","emotions":[],"dialect":"canadian"}</vt:lpwstr>
  </property>
</Properties>
</file>